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551969">
      <w:pPr>
        <w:widowControl/>
        <w:jc w:val="center"/>
        <w:rPr>
          <w:b/>
          <w:sz w:val="32"/>
          <w:szCs w:val="32"/>
          <w:highlight w:val="none"/>
        </w:rPr>
      </w:pPr>
      <w:r>
        <w:rPr>
          <w:rFonts w:hint="eastAsia"/>
          <w:b/>
          <w:sz w:val="32"/>
          <w:szCs w:val="32"/>
          <w:highlight w:val="none"/>
        </w:rPr>
        <w:t xml:space="preserve">第四章 </w:t>
      </w:r>
      <w:bookmarkStart w:id="0" w:name="_GoBack"/>
      <w:bookmarkEnd w:id="0"/>
      <w:r>
        <w:rPr>
          <w:rFonts w:hint="eastAsia"/>
          <w:b/>
          <w:sz w:val="32"/>
          <w:szCs w:val="32"/>
          <w:highlight w:val="none"/>
        </w:rPr>
        <w:t>项目（货物或者服务）需求说明</w:t>
      </w:r>
    </w:p>
    <w:p w14:paraId="49BCAF1B">
      <w:pPr>
        <w:spacing w:line="300" w:lineRule="auto"/>
        <w:ind w:firstLine="480" w:firstLineChars="200"/>
        <w:rPr>
          <w:rFonts w:hint="eastAsia" w:ascii="宋体" w:hAnsi="宋体"/>
          <w:color w:val="000000"/>
          <w:sz w:val="24"/>
          <w:highlight w:val="none"/>
        </w:rPr>
      </w:pPr>
      <w:r>
        <w:rPr>
          <w:rFonts w:hint="eastAsia" w:ascii="宋体" w:hAnsi="宋体"/>
          <w:color w:val="000000"/>
          <w:sz w:val="24"/>
          <w:highlight w:val="none"/>
        </w:rPr>
        <w:t>一、项目背景（或概况）：</w:t>
      </w:r>
    </w:p>
    <w:p w14:paraId="345798B9">
      <w:pPr>
        <w:spacing w:line="30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本项目旨在搭建适配前期已采购设备的硬件配套体系与统一数据标准，杜绝重复建设，充分盘活既有设备资源，切实提升前期资产投入使用效能。本次采购三维步态分析与训练系统，进一步补齐专业实训与科研硬件短板，强化专业教学实操能力，稳步提升科研综合实力</w:t>
      </w:r>
      <w:r>
        <w:rPr>
          <w:rFonts w:hint="eastAsia" w:ascii="宋体" w:hAnsi="宋体"/>
          <w:color w:val="000000"/>
          <w:szCs w:val="21"/>
          <w:highlight w:val="none"/>
          <w:u w:val="single"/>
          <w:lang w:eastAsia="zh-CN"/>
        </w:rPr>
        <w:t>，</w:t>
      </w:r>
      <w:r>
        <w:rPr>
          <w:rFonts w:hint="eastAsia" w:ascii="宋体" w:hAnsi="宋体"/>
          <w:color w:val="000000"/>
          <w:szCs w:val="21"/>
          <w:highlight w:val="none"/>
          <w:u w:val="single"/>
        </w:rPr>
        <w:t xml:space="preserve">全面助推院校教学实践能力与学术科研水平提质升级。 </w:t>
      </w:r>
    </w:p>
    <w:p w14:paraId="26358FBB">
      <w:pPr>
        <w:spacing w:line="300" w:lineRule="auto"/>
        <w:rPr>
          <w:rFonts w:hint="eastAsia" w:ascii="宋体" w:hAnsi="宋体"/>
          <w:color w:val="000000"/>
          <w:szCs w:val="21"/>
          <w:highlight w:val="none"/>
        </w:rPr>
      </w:pPr>
    </w:p>
    <w:p w14:paraId="6FD7B027">
      <w:pPr>
        <w:spacing w:line="300" w:lineRule="auto"/>
        <w:ind w:firstLine="480" w:firstLineChars="200"/>
        <w:rPr>
          <w:rFonts w:hint="eastAsia" w:ascii="宋体" w:hAnsi="宋体"/>
          <w:color w:val="000000"/>
          <w:sz w:val="24"/>
          <w:highlight w:val="none"/>
        </w:rPr>
      </w:pPr>
      <w:r>
        <w:rPr>
          <w:rFonts w:hint="eastAsia" w:ascii="宋体" w:hAnsi="宋体"/>
          <w:color w:val="000000"/>
          <w:sz w:val="24"/>
          <w:highlight w:val="none"/>
        </w:rPr>
        <w:t>二、货物（标的）采购清单：（核心产品）</w:t>
      </w:r>
    </w:p>
    <w:tbl>
      <w:tblPr>
        <w:tblStyle w:val="4"/>
        <w:tblW w:w="8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6"/>
        <w:gridCol w:w="3613"/>
        <w:gridCol w:w="1296"/>
        <w:gridCol w:w="2301"/>
      </w:tblGrid>
      <w:tr w14:paraId="46FAB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216" w:type="dxa"/>
            <w:vAlign w:val="center"/>
          </w:tcPr>
          <w:p w14:paraId="408DC35A">
            <w:pPr>
              <w:widowControl/>
              <w:jc w:val="center"/>
              <w:rPr>
                <w:rFonts w:hint="eastAsia" w:ascii="宋体" w:hAnsi="宋体" w:cs="Helvetica"/>
                <w:b/>
                <w:sz w:val="24"/>
                <w:highlight w:val="none"/>
              </w:rPr>
            </w:pPr>
            <w:r>
              <w:rPr>
                <w:rFonts w:hint="eastAsia" w:ascii="宋体" w:hAnsi="宋体" w:cs="Helvetica"/>
                <w:b/>
                <w:sz w:val="24"/>
                <w:highlight w:val="none"/>
              </w:rPr>
              <w:t>序号</w:t>
            </w:r>
          </w:p>
        </w:tc>
        <w:tc>
          <w:tcPr>
            <w:tcW w:w="3613" w:type="dxa"/>
            <w:vAlign w:val="center"/>
          </w:tcPr>
          <w:p w14:paraId="198C1EDA">
            <w:pPr>
              <w:widowControl/>
              <w:jc w:val="center"/>
              <w:rPr>
                <w:rFonts w:hint="eastAsia" w:ascii="宋体" w:hAnsi="宋体" w:cs="Helvetica"/>
                <w:b/>
                <w:sz w:val="24"/>
                <w:highlight w:val="none"/>
              </w:rPr>
            </w:pPr>
            <w:r>
              <w:rPr>
                <w:rFonts w:hint="eastAsia" w:ascii="宋体" w:hAnsi="宋体" w:cs="Helvetica"/>
                <w:b/>
                <w:sz w:val="24"/>
                <w:highlight w:val="none"/>
              </w:rPr>
              <w:t>货物名称</w:t>
            </w:r>
          </w:p>
        </w:tc>
        <w:tc>
          <w:tcPr>
            <w:tcW w:w="1296" w:type="dxa"/>
            <w:vAlign w:val="center"/>
          </w:tcPr>
          <w:p w14:paraId="2F884BCA">
            <w:pPr>
              <w:widowControl/>
              <w:jc w:val="center"/>
              <w:rPr>
                <w:rFonts w:ascii="宋体" w:hAnsi="Calibri"/>
                <w:b/>
                <w:sz w:val="24"/>
                <w:highlight w:val="none"/>
              </w:rPr>
            </w:pPr>
            <w:r>
              <w:rPr>
                <w:rFonts w:hint="eastAsia" w:ascii="Calibri" w:hAnsi="Calibri"/>
                <w:b/>
                <w:sz w:val="24"/>
                <w:highlight w:val="none"/>
              </w:rPr>
              <w:t>数量</w:t>
            </w:r>
          </w:p>
        </w:tc>
        <w:tc>
          <w:tcPr>
            <w:tcW w:w="2301" w:type="dxa"/>
            <w:vAlign w:val="center"/>
          </w:tcPr>
          <w:p w14:paraId="1AD05FDF">
            <w:pPr>
              <w:widowControl/>
              <w:jc w:val="center"/>
              <w:rPr>
                <w:rFonts w:ascii="Calibri" w:hAnsi="Calibri"/>
                <w:b/>
                <w:sz w:val="24"/>
                <w:highlight w:val="none"/>
              </w:rPr>
            </w:pPr>
            <w:r>
              <w:rPr>
                <w:rFonts w:hint="eastAsia" w:ascii="Calibri" w:hAnsi="Calibri"/>
                <w:b/>
                <w:sz w:val="24"/>
                <w:highlight w:val="none"/>
              </w:rPr>
              <w:t>单位</w:t>
            </w:r>
          </w:p>
        </w:tc>
      </w:tr>
      <w:tr w14:paraId="0A200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216" w:type="dxa"/>
          </w:tcPr>
          <w:p w14:paraId="1C92B63A">
            <w:pPr>
              <w:widowControl/>
              <w:jc w:val="center"/>
              <w:rPr>
                <w:rFonts w:hint="eastAsia" w:ascii="宋体" w:hAnsi="宋体"/>
                <w:bCs/>
                <w:sz w:val="24"/>
                <w:highlight w:val="none"/>
              </w:rPr>
            </w:pPr>
            <w:r>
              <w:rPr>
                <w:rFonts w:hint="eastAsia" w:ascii="宋体" w:hAnsi="宋体"/>
                <w:bCs/>
                <w:sz w:val="24"/>
                <w:highlight w:val="none"/>
              </w:rPr>
              <w:t xml:space="preserve"> 1</w:t>
            </w:r>
          </w:p>
        </w:tc>
        <w:tc>
          <w:tcPr>
            <w:tcW w:w="3613" w:type="dxa"/>
            <w:vAlign w:val="center"/>
          </w:tcPr>
          <w:p w14:paraId="43657F2D">
            <w:pPr>
              <w:jc w:val="center"/>
              <w:rPr>
                <w:rFonts w:hint="eastAsia" w:ascii="宋体" w:hAnsi="宋体"/>
                <w:bCs/>
                <w:sz w:val="24"/>
                <w:highlight w:val="none"/>
              </w:rPr>
            </w:pPr>
            <w:r>
              <w:rPr>
                <w:rFonts w:hint="eastAsia" w:ascii="宋体" w:hAnsi="宋体"/>
                <w:bCs/>
                <w:sz w:val="24"/>
                <w:highlight w:val="none"/>
              </w:rPr>
              <w:t>三维步态分析与训练系统</w:t>
            </w:r>
          </w:p>
        </w:tc>
        <w:tc>
          <w:tcPr>
            <w:tcW w:w="1296" w:type="dxa"/>
            <w:vAlign w:val="center"/>
          </w:tcPr>
          <w:p w14:paraId="27CCAC5A">
            <w:pPr>
              <w:jc w:val="center"/>
              <w:rPr>
                <w:rFonts w:hint="eastAsia" w:ascii="宋体" w:hAnsi="宋体"/>
                <w:bCs/>
                <w:sz w:val="24"/>
                <w:highlight w:val="none"/>
              </w:rPr>
            </w:pPr>
            <w:r>
              <w:rPr>
                <w:rFonts w:hint="eastAsia" w:ascii="宋体" w:hAnsi="宋体"/>
                <w:bCs/>
                <w:sz w:val="24"/>
                <w:highlight w:val="none"/>
              </w:rPr>
              <w:t>1</w:t>
            </w:r>
          </w:p>
        </w:tc>
        <w:tc>
          <w:tcPr>
            <w:tcW w:w="2301" w:type="dxa"/>
            <w:vAlign w:val="center"/>
          </w:tcPr>
          <w:p w14:paraId="71FCCBB7">
            <w:pPr>
              <w:jc w:val="center"/>
              <w:rPr>
                <w:rFonts w:hint="eastAsia" w:ascii="宋体" w:hAnsi="宋体"/>
                <w:bCs/>
                <w:sz w:val="24"/>
                <w:highlight w:val="none"/>
              </w:rPr>
            </w:pPr>
            <w:r>
              <w:rPr>
                <w:rFonts w:hint="eastAsia" w:ascii="宋体" w:hAnsi="宋体"/>
                <w:bCs/>
                <w:sz w:val="24"/>
                <w:highlight w:val="none"/>
              </w:rPr>
              <w:t>套</w:t>
            </w:r>
          </w:p>
        </w:tc>
      </w:tr>
    </w:tbl>
    <w:p w14:paraId="0AF45B78">
      <w:pPr>
        <w:spacing w:line="300" w:lineRule="auto"/>
        <w:ind w:firstLine="420" w:firstLineChars="200"/>
        <w:rPr>
          <w:rFonts w:hint="eastAsia" w:ascii="宋体" w:hAnsi="宋体"/>
          <w:color w:val="000000"/>
          <w:szCs w:val="21"/>
          <w:highlight w:val="none"/>
        </w:rPr>
      </w:pPr>
    </w:p>
    <w:p w14:paraId="5B65BDB2">
      <w:pPr>
        <w:spacing w:line="300" w:lineRule="auto"/>
        <w:ind w:firstLine="480" w:firstLineChars="200"/>
        <w:rPr>
          <w:rFonts w:hint="eastAsia" w:ascii="宋体" w:hAnsi="宋体"/>
          <w:color w:val="000000"/>
          <w:szCs w:val="21"/>
          <w:highlight w:val="none"/>
        </w:rPr>
      </w:pPr>
      <w:r>
        <w:rPr>
          <w:rFonts w:hint="eastAsia" w:ascii="宋体" w:hAnsi="宋体"/>
          <w:color w:val="000000"/>
          <w:sz w:val="24"/>
          <w:highlight w:val="none"/>
        </w:rPr>
        <w:t>三、货物技术参数及功能指标：</w:t>
      </w:r>
    </w:p>
    <w:tbl>
      <w:tblPr>
        <w:tblStyle w:val="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1566"/>
        <w:gridCol w:w="6242"/>
      </w:tblGrid>
      <w:tr w14:paraId="07F98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417" w:type="pct"/>
            <w:vAlign w:val="center"/>
          </w:tcPr>
          <w:p w14:paraId="692B2ADB">
            <w:pPr>
              <w:widowControl/>
              <w:jc w:val="center"/>
              <w:rPr>
                <w:rFonts w:hint="eastAsia" w:ascii="宋体" w:hAnsi="宋体" w:cs="Helvetica"/>
                <w:b/>
                <w:sz w:val="24"/>
                <w:highlight w:val="none"/>
              </w:rPr>
            </w:pPr>
            <w:r>
              <w:rPr>
                <w:rFonts w:hint="eastAsia" w:ascii="宋体" w:hAnsi="宋体" w:cs="Helvetica"/>
                <w:b/>
                <w:sz w:val="24"/>
                <w:highlight w:val="none"/>
              </w:rPr>
              <w:t>序号</w:t>
            </w:r>
          </w:p>
        </w:tc>
        <w:tc>
          <w:tcPr>
            <w:tcW w:w="919" w:type="pct"/>
            <w:vAlign w:val="center"/>
          </w:tcPr>
          <w:p w14:paraId="3818018E">
            <w:pPr>
              <w:widowControl/>
              <w:jc w:val="center"/>
              <w:rPr>
                <w:rFonts w:hint="eastAsia" w:ascii="宋体" w:hAnsi="宋体" w:cs="Helvetica"/>
                <w:b/>
                <w:sz w:val="24"/>
                <w:highlight w:val="none"/>
              </w:rPr>
            </w:pPr>
            <w:r>
              <w:rPr>
                <w:rFonts w:hint="eastAsia" w:ascii="宋体" w:hAnsi="宋体" w:cs="Helvetica"/>
                <w:b/>
                <w:sz w:val="24"/>
                <w:highlight w:val="none"/>
              </w:rPr>
              <w:t>货物名称</w:t>
            </w:r>
          </w:p>
        </w:tc>
        <w:tc>
          <w:tcPr>
            <w:tcW w:w="3663" w:type="pct"/>
            <w:vAlign w:val="center"/>
          </w:tcPr>
          <w:p w14:paraId="0C0070F1">
            <w:pPr>
              <w:widowControl/>
              <w:jc w:val="center"/>
              <w:rPr>
                <w:rFonts w:hint="eastAsia" w:ascii="宋体" w:hAnsi="宋体" w:cs="Helvetica"/>
                <w:b/>
                <w:sz w:val="24"/>
                <w:highlight w:val="none"/>
              </w:rPr>
            </w:pPr>
            <w:r>
              <w:rPr>
                <w:rFonts w:hint="eastAsia" w:ascii="宋体" w:hAnsi="宋体" w:cs="Helvetica"/>
                <w:b/>
                <w:sz w:val="24"/>
                <w:highlight w:val="none"/>
              </w:rPr>
              <w:t>技术参数及功能指标</w:t>
            </w:r>
          </w:p>
        </w:tc>
      </w:tr>
      <w:tr w14:paraId="09D80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vAlign w:val="center"/>
          </w:tcPr>
          <w:p w14:paraId="0A5ED524">
            <w:pPr>
              <w:widowControl/>
              <w:spacing w:line="400" w:lineRule="exact"/>
              <w:ind w:firstLine="240" w:firstLineChars="100"/>
              <w:rPr>
                <w:rFonts w:hint="eastAsia" w:ascii="宋体" w:hAnsi="宋体" w:cs="Helvetica"/>
                <w:sz w:val="24"/>
                <w:highlight w:val="none"/>
              </w:rPr>
            </w:pPr>
            <w:r>
              <w:rPr>
                <w:rFonts w:hint="eastAsia" w:ascii="宋体" w:hAnsi="宋体" w:cs="Helvetica"/>
                <w:sz w:val="24"/>
                <w:highlight w:val="none"/>
              </w:rPr>
              <w:t>1</w:t>
            </w:r>
          </w:p>
        </w:tc>
        <w:tc>
          <w:tcPr>
            <w:tcW w:w="919" w:type="pct"/>
            <w:vAlign w:val="center"/>
          </w:tcPr>
          <w:p w14:paraId="7323773A">
            <w:pPr>
              <w:spacing w:line="400" w:lineRule="exact"/>
              <w:jc w:val="center"/>
              <w:rPr>
                <w:rFonts w:hint="eastAsia" w:ascii="宋体" w:hAnsi="宋体" w:cs="宋体"/>
                <w:kern w:val="0"/>
                <w:sz w:val="24"/>
                <w:highlight w:val="none"/>
              </w:rPr>
            </w:pPr>
            <w:r>
              <w:rPr>
                <w:rFonts w:hint="eastAsia" w:ascii="宋体" w:hAnsi="宋体"/>
                <w:bCs/>
                <w:sz w:val="24"/>
                <w:highlight w:val="none"/>
              </w:rPr>
              <w:t>三维步态分析与训练系统</w:t>
            </w:r>
          </w:p>
        </w:tc>
        <w:tc>
          <w:tcPr>
            <w:tcW w:w="3663" w:type="pct"/>
            <w:vAlign w:val="center"/>
          </w:tcPr>
          <w:p w14:paraId="5D68F1D3">
            <w:pPr>
              <w:pStyle w:val="6"/>
              <w:spacing w:line="360" w:lineRule="auto"/>
              <w:rPr>
                <w:rFonts w:hint="eastAsia"/>
                <w:highlight w:val="none"/>
              </w:rPr>
            </w:pPr>
            <w:r>
              <w:rPr>
                <w:rFonts w:hint="eastAsia"/>
                <w:color w:val="000000"/>
                <w:highlight w:val="none"/>
              </w:rPr>
              <w:t>1.通过由微型运动传感器组成的智能运动功能评估系统解决方案，对用户进行快速精准地运动筛查，完成涵盖步行、平衡、足底压力、关节活动度以及运动模式的全面数字化测评和分析，供后续研究用，并提供适宜的健康和运动指导意见。</w:t>
            </w:r>
          </w:p>
          <w:p w14:paraId="1E120352">
            <w:pPr>
              <w:pStyle w:val="6"/>
              <w:spacing w:line="360" w:lineRule="auto"/>
              <w:rPr>
                <w:rFonts w:hint="eastAsia"/>
                <w:highlight w:val="none"/>
              </w:rPr>
            </w:pPr>
            <w:r>
              <w:rPr>
                <w:rFonts w:hint="eastAsia"/>
                <w:color w:val="000000"/>
                <w:highlight w:val="none"/>
              </w:rPr>
              <w:t>▲2. 实时采集步态中髋、膝、踝各个关节的运动数据，包括矢状面、冠状面、横断面的重要曲线图，以及步态周期，用于科学研究、体能测评与运动分析。</w:t>
            </w:r>
          </w:p>
          <w:p w14:paraId="34162832">
            <w:pPr>
              <w:pStyle w:val="6"/>
              <w:spacing w:line="360" w:lineRule="auto"/>
              <w:rPr>
                <w:rFonts w:hint="eastAsia"/>
                <w:highlight w:val="none"/>
              </w:rPr>
            </w:pPr>
            <w:r>
              <w:rPr>
                <w:rFonts w:hint="eastAsia"/>
                <w:color w:val="000000"/>
                <w:highlight w:val="none"/>
              </w:rPr>
              <w:t>▲3.记录关节活动范围和位置信息，包含左右髋关节，左右膝关节，左右踝关节和骨盆的矢量面，水平面和垂直面的三维角度曲线，角速度曲线。</w:t>
            </w:r>
          </w:p>
          <w:p w14:paraId="5110E3F9">
            <w:pPr>
              <w:pStyle w:val="6"/>
              <w:spacing w:line="360" w:lineRule="auto"/>
              <w:rPr>
                <w:rFonts w:hint="eastAsia"/>
                <w:highlight w:val="none"/>
              </w:rPr>
            </w:pPr>
            <w:r>
              <w:rPr>
                <w:rFonts w:hint="eastAsia"/>
                <w:color w:val="000000"/>
                <w:highlight w:val="none"/>
              </w:rPr>
              <w:t>▲4.足底压力测试可实时获取人体足底压力分布数据，对足弓状态进行评估；可进行静态、动态、前庭、平衡等多模块测试，得到扁平足、高弓足的精准数据；检查足内翻、足外翻，足弓大小；定义三种足部类型（扁平足、正常足、高足弓）；可对睁眼、闭眼人体站位姿势的人体重心变化摆动实时检测显示左右压力分配比例，前后压力分配比例，重心轨迹、摆幅、移动速率、摆动面积、轨迹长度。</w:t>
            </w:r>
          </w:p>
          <w:p w14:paraId="1006B12F">
            <w:pPr>
              <w:pStyle w:val="6"/>
              <w:spacing w:line="360" w:lineRule="auto"/>
              <w:rPr>
                <w:rFonts w:hint="eastAsia"/>
                <w:highlight w:val="none"/>
              </w:rPr>
            </w:pPr>
            <w:r>
              <w:rPr>
                <w:rFonts w:hint="eastAsia"/>
                <w:color w:val="000000"/>
                <w:highlight w:val="none"/>
              </w:rPr>
              <w:t>5.步行分析和足底压力测试可提供标准曲线比较，可以比较客户与正常标准值的步行走路和足底压力差异。</w:t>
            </w:r>
          </w:p>
          <w:p w14:paraId="6BC816DD">
            <w:pPr>
              <w:pStyle w:val="6"/>
              <w:spacing w:line="360" w:lineRule="auto"/>
              <w:rPr>
                <w:rFonts w:hint="eastAsia"/>
                <w:highlight w:val="none"/>
              </w:rPr>
            </w:pPr>
            <w:r>
              <w:rPr>
                <w:rFonts w:hint="eastAsia"/>
                <w:color w:val="000000"/>
                <w:highlight w:val="none"/>
              </w:rPr>
              <w:t>6.软件参数记录功能，行走回放功能，报告生成功能。</w:t>
            </w:r>
          </w:p>
          <w:p w14:paraId="7621FE5D">
            <w:pPr>
              <w:pStyle w:val="6"/>
              <w:spacing w:line="360" w:lineRule="auto"/>
              <w:rPr>
                <w:rFonts w:hint="eastAsia"/>
                <w:highlight w:val="none"/>
              </w:rPr>
            </w:pPr>
            <w:r>
              <w:rPr>
                <w:rFonts w:hint="eastAsia"/>
                <w:color w:val="000000"/>
                <w:highlight w:val="none"/>
              </w:rPr>
              <w:t>▲7.关节活动度测评提供单双传感器解决方案，可对人体髋、膝、踝、腰椎、肩、肘、腕、颈椎进行一站式ROM测量，自动化识别，提供三维动态显示功能，可视化关节活动范围。</w:t>
            </w:r>
          </w:p>
          <w:p w14:paraId="32A1F245">
            <w:pPr>
              <w:spacing w:line="360" w:lineRule="auto"/>
              <w:rPr>
                <w:rFonts w:hint="eastAsia" w:ascii="宋体" w:hAnsi="宋体"/>
                <w:sz w:val="24"/>
                <w:highlight w:val="none"/>
              </w:rPr>
            </w:pPr>
            <w:r>
              <w:rPr>
                <w:rFonts w:hint="eastAsia" w:ascii="宋体" w:hAnsi="宋体"/>
                <w:color w:val="000000"/>
                <w:sz w:val="24"/>
                <w:highlight w:val="none"/>
              </w:rPr>
              <w:t>8.双传感器解决方案，用来测量下肢关节活动度，数据准确度和操作性更强，解决测量中的关节活动度代偿问题，内置20余种测试项目，包含针对不同关节的屈伸、旋转、内收外展等常规动作进行测量，满足所有运动、康复项目的测试需求，对受试者进行整体关节功能状态评估。</w:t>
            </w:r>
          </w:p>
        </w:tc>
      </w:tr>
    </w:tbl>
    <w:p w14:paraId="534BA2E5">
      <w:pPr>
        <w:spacing w:line="300" w:lineRule="auto"/>
        <w:ind w:firstLine="420" w:firstLineChars="200"/>
        <w:rPr>
          <w:rFonts w:hint="eastAsia" w:ascii="宋体" w:hAnsi="宋体"/>
          <w:color w:val="000000"/>
          <w:szCs w:val="21"/>
          <w:highlight w:val="none"/>
        </w:rPr>
      </w:pPr>
    </w:p>
    <w:p w14:paraId="17B51751">
      <w:pPr>
        <w:spacing w:line="300" w:lineRule="auto"/>
        <w:ind w:firstLine="480" w:firstLineChars="200"/>
        <w:rPr>
          <w:rFonts w:hint="eastAsia" w:ascii="宋体" w:hAnsi="宋体"/>
          <w:color w:val="000000"/>
          <w:sz w:val="24"/>
          <w:highlight w:val="none"/>
        </w:rPr>
      </w:pPr>
      <w:r>
        <w:rPr>
          <w:rFonts w:hint="eastAsia" w:ascii="宋体" w:hAnsi="宋体"/>
          <w:sz w:val="24"/>
          <w:highlight w:val="none"/>
        </w:rPr>
        <w:t>★</w:t>
      </w:r>
      <w:r>
        <w:rPr>
          <w:rFonts w:hint="eastAsia" w:ascii="宋体" w:hAnsi="宋体"/>
          <w:color w:val="000000"/>
          <w:sz w:val="24"/>
          <w:highlight w:val="none"/>
        </w:rPr>
        <w:t>四、商务要求</w:t>
      </w:r>
    </w:p>
    <w:tbl>
      <w:tblPr>
        <w:tblStyle w:val="4"/>
        <w:tblpPr w:leftFromText="180" w:rightFromText="180" w:vertAnchor="text" w:horzAnchor="page" w:tblpX="2277" w:tblpY="166"/>
        <w:tblOverlap w:val="never"/>
        <w:tblW w:w="8528"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071"/>
        <w:gridCol w:w="6457"/>
      </w:tblGrid>
      <w:tr w14:paraId="62F9063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94C3606">
            <w:pPr>
              <w:shd w:val="solid" w:color="FFFFFF" w:fill="auto"/>
              <w:autoSpaceDN w:val="0"/>
              <w:snapToGrid w:val="0"/>
              <w:spacing w:line="360" w:lineRule="auto"/>
              <w:jc w:val="center"/>
              <w:rPr>
                <w:rFonts w:hint="eastAsia" w:ascii="宋体" w:hAnsi="宋体"/>
                <w:color w:val="auto"/>
                <w:szCs w:val="21"/>
                <w:highlight w:val="none"/>
                <w:shd w:val="clear" w:color="auto" w:fill="FFFFFF"/>
              </w:rPr>
            </w:pPr>
            <w:r>
              <w:rPr>
                <w:rFonts w:ascii="宋体" w:hAnsi="宋体"/>
                <w:color w:val="auto"/>
                <w:szCs w:val="21"/>
                <w:highlight w:val="none"/>
                <w:shd w:val="clear" w:color="auto" w:fill="FFFFFF"/>
              </w:rPr>
              <w:t>质保期</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BC1557B">
            <w:pPr>
              <w:shd w:val="solid" w:color="FFFFFF" w:fill="auto"/>
              <w:autoSpaceDN w:val="0"/>
              <w:snapToGrid w:val="0"/>
              <w:spacing w:line="360" w:lineRule="auto"/>
              <w:jc w:val="left"/>
              <w:rPr>
                <w:rFonts w:hint="eastAsia" w:ascii="宋体" w:hAnsi="宋体"/>
                <w:color w:val="auto"/>
                <w:szCs w:val="21"/>
                <w:highlight w:val="none"/>
                <w:shd w:val="clear" w:color="auto" w:fill="FFFFFF"/>
              </w:rPr>
            </w:pPr>
            <w:r>
              <w:rPr>
                <w:rFonts w:ascii="宋体" w:hAnsi="宋体"/>
                <w:color w:val="auto"/>
                <w:szCs w:val="21"/>
                <w:highlight w:val="none"/>
                <w:shd w:val="clear" w:color="auto" w:fill="FFFFFF"/>
              </w:rPr>
              <w:t>国家有统一规定的执行国家规定，没有规定的原则上不少于12个月</w:t>
            </w:r>
            <w:r>
              <w:rPr>
                <w:rFonts w:hint="eastAsia" w:ascii="宋体" w:hAnsi="宋体"/>
                <w:color w:val="auto"/>
                <w:szCs w:val="21"/>
                <w:highlight w:val="none"/>
                <w:shd w:val="clear" w:color="auto" w:fill="FFFFFF"/>
              </w:rPr>
              <w:t>。</w:t>
            </w:r>
          </w:p>
        </w:tc>
      </w:tr>
      <w:tr w14:paraId="7F47E04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0670E845">
            <w:pPr>
              <w:shd w:val="solid" w:color="FFFFFF" w:fill="auto"/>
              <w:autoSpaceDN w:val="0"/>
              <w:snapToGrid w:val="0"/>
              <w:spacing w:line="360" w:lineRule="auto"/>
              <w:jc w:val="center"/>
              <w:rPr>
                <w:rFonts w:hint="eastAsia" w:ascii="宋体" w:hAnsi="宋体"/>
                <w:color w:val="auto"/>
                <w:szCs w:val="21"/>
                <w:highlight w:val="none"/>
                <w:shd w:val="clear" w:color="auto" w:fill="FFFFFF"/>
              </w:rPr>
            </w:pPr>
            <w:r>
              <w:rPr>
                <w:rFonts w:ascii="宋体" w:hAnsi="宋体"/>
                <w:color w:val="auto"/>
                <w:szCs w:val="21"/>
                <w:highlight w:val="none"/>
                <w:shd w:val="clear" w:color="auto" w:fill="FFFFFF"/>
              </w:rPr>
              <w:t>售后技术服务要求</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5D862BB6">
            <w:pPr>
              <w:shd w:val="solid" w:color="FFFFFF" w:fill="auto"/>
              <w:autoSpaceDN w:val="0"/>
              <w:snapToGrid w:val="0"/>
              <w:spacing w:line="360" w:lineRule="auto"/>
              <w:jc w:val="left"/>
              <w:rPr>
                <w:rFonts w:hint="eastAsia" w:ascii="宋体" w:hAnsi="宋体"/>
                <w:color w:val="auto"/>
                <w:szCs w:val="21"/>
                <w:highlight w:val="none"/>
                <w:shd w:val="clear" w:color="auto" w:fill="FFFFFF"/>
              </w:rPr>
            </w:pPr>
            <w:r>
              <w:rPr>
                <w:rFonts w:ascii="宋体" w:hAnsi="宋体"/>
                <w:color w:val="auto"/>
                <w:szCs w:val="21"/>
                <w:highlight w:val="none"/>
                <w:shd w:val="clear" w:color="auto" w:fill="FFFFFF"/>
              </w:rPr>
              <w:t>含安装、调试、维修、保养、人员培训等。</w:t>
            </w:r>
            <w:r>
              <w:rPr>
                <w:rFonts w:hint="eastAsia" w:ascii="宋体" w:hAnsi="宋体"/>
                <w:color w:val="auto"/>
                <w:szCs w:val="21"/>
                <w:highlight w:val="none"/>
                <w:shd w:val="clear" w:color="auto" w:fill="FFFFFF"/>
              </w:rPr>
              <w:t>培训仅限于基本操作培训。</w:t>
            </w:r>
          </w:p>
        </w:tc>
      </w:tr>
      <w:tr w14:paraId="7B5CA87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0374B521">
            <w:pPr>
              <w:shd w:val="solid" w:color="FFFFFF" w:fill="auto"/>
              <w:autoSpaceDN w:val="0"/>
              <w:snapToGrid w:val="0"/>
              <w:spacing w:line="360" w:lineRule="auto"/>
              <w:jc w:val="center"/>
              <w:rPr>
                <w:rFonts w:hint="eastAsia" w:ascii="宋体" w:hAnsi="宋体"/>
                <w:color w:val="auto"/>
                <w:szCs w:val="21"/>
                <w:highlight w:val="none"/>
                <w:shd w:val="clear" w:color="auto" w:fill="FFFFFF"/>
              </w:rPr>
            </w:pPr>
            <w:r>
              <w:rPr>
                <w:rFonts w:ascii="宋体" w:hAnsi="宋体"/>
                <w:color w:val="auto"/>
                <w:szCs w:val="21"/>
                <w:highlight w:val="none"/>
                <w:shd w:val="clear" w:color="auto" w:fill="FFFFFF"/>
              </w:rPr>
              <w:t>交货时间</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2F556DA9">
            <w:pPr>
              <w:shd w:val="solid" w:color="FFFFFF" w:fill="auto"/>
              <w:autoSpaceDN w:val="0"/>
              <w:snapToGrid w:val="0"/>
              <w:spacing w:after="100" w:afterAutospacing="1"/>
              <w:jc w:val="left"/>
              <w:rPr>
                <w:rFonts w:hint="eastAsia" w:ascii="宋体" w:hAnsi="宋体"/>
                <w:color w:val="auto"/>
                <w:szCs w:val="21"/>
                <w:highlight w:val="none"/>
                <w:shd w:val="clear" w:color="auto" w:fill="FFFFFF"/>
              </w:rPr>
            </w:pPr>
            <w:r>
              <w:rPr>
                <w:rFonts w:hint="eastAsia" w:ascii="宋体" w:hAnsi="宋体" w:cs="宋体"/>
                <w:color w:val="auto"/>
                <w:highlight w:val="none"/>
              </w:rPr>
              <w:t>合同签订生效</w:t>
            </w:r>
            <w:r>
              <w:rPr>
                <w:rFonts w:hint="eastAsia" w:ascii="宋体" w:hAnsi="宋体" w:cs="宋体"/>
                <w:color w:val="auto"/>
                <w:szCs w:val="21"/>
                <w:highlight w:val="none"/>
              </w:rPr>
              <w:t xml:space="preserve">后 </w:t>
            </w:r>
            <w:r>
              <w:rPr>
                <w:rFonts w:hint="eastAsia" w:ascii="宋体" w:hAnsi="宋体" w:cs="宋体"/>
                <w:color w:val="auto"/>
                <w:szCs w:val="21"/>
                <w:highlight w:val="none"/>
                <w:u w:val="single"/>
              </w:rPr>
              <w:t xml:space="preserve"> 15</w:t>
            </w:r>
            <w:r>
              <w:rPr>
                <w:rFonts w:hint="eastAsia" w:ascii="宋体" w:hAnsi="宋体" w:cs="宋体"/>
                <w:color w:val="auto"/>
                <w:szCs w:val="21"/>
                <w:highlight w:val="none"/>
                <w:u w:val="single"/>
                <w:lang w:eastAsia="zh-CN"/>
              </w:rPr>
              <w:t>日历</w:t>
            </w:r>
            <w:r>
              <w:rPr>
                <w:rFonts w:hint="eastAsia" w:ascii="宋体" w:hAnsi="宋体" w:cs="宋体"/>
                <w:color w:val="auto"/>
                <w:szCs w:val="21"/>
                <w:highlight w:val="none"/>
              </w:rPr>
              <w:t>天内。</w:t>
            </w:r>
            <w:r>
              <w:rPr>
                <w:rFonts w:hint="eastAsia" w:ascii="宋体" w:hAnsi="宋体" w:cs="宋体"/>
                <w:color w:val="auto"/>
                <w:highlight w:val="none"/>
              </w:rPr>
              <w:t>逾期提供货物，每天按合同款总额2‰的额度支付延期交货违约金（具体见第五章合同条款）。</w:t>
            </w:r>
          </w:p>
        </w:tc>
      </w:tr>
      <w:tr w14:paraId="4FFA7A2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78"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2CB890D0">
            <w:pPr>
              <w:shd w:val="solid" w:color="FFFFFF" w:fill="auto"/>
              <w:autoSpaceDN w:val="0"/>
              <w:snapToGrid w:val="0"/>
              <w:spacing w:line="360" w:lineRule="auto"/>
              <w:jc w:val="center"/>
              <w:rPr>
                <w:rFonts w:hint="eastAsia" w:ascii="宋体" w:hAnsi="宋体"/>
                <w:color w:val="auto"/>
                <w:szCs w:val="21"/>
                <w:highlight w:val="none"/>
                <w:shd w:val="clear" w:color="auto" w:fill="FFFFFF"/>
              </w:rPr>
            </w:pPr>
            <w:r>
              <w:rPr>
                <w:rFonts w:ascii="宋体" w:hAnsi="宋体"/>
                <w:color w:val="auto"/>
                <w:szCs w:val="21"/>
                <w:highlight w:val="none"/>
                <w:shd w:val="clear" w:color="auto" w:fill="FFFFFF"/>
              </w:rPr>
              <w:t>付款方式</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3F984777">
            <w:pPr>
              <w:shd w:val="solid" w:color="FFFFFF" w:fill="auto"/>
              <w:autoSpaceDN w:val="0"/>
              <w:snapToGrid w:val="0"/>
              <w:spacing w:line="360" w:lineRule="auto"/>
              <w:jc w:val="left"/>
              <w:rPr>
                <w:rFonts w:hint="eastAsia" w:ascii="宋体" w:hAnsi="宋体"/>
                <w:color w:val="auto"/>
                <w:szCs w:val="21"/>
                <w:highlight w:val="none"/>
                <w:shd w:val="clear" w:color="auto" w:fill="FFFFFF"/>
              </w:rPr>
            </w:pPr>
            <w:r>
              <w:rPr>
                <w:rFonts w:ascii="宋体" w:hAnsi="宋体"/>
                <w:color w:val="auto"/>
                <w:szCs w:val="21"/>
                <w:highlight w:val="none"/>
                <w:shd w:val="clear" w:color="auto" w:fill="FFFFFF"/>
              </w:rPr>
              <w:t>见</w:t>
            </w:r>
            <w:r>
              <w:rPr>
                <w:rFonts w:hint="eastAsia"/>
                <w:color w:val="auto"/>
                <w:szCs w:val="21"/>
                <w:highlight w:val="none"/>
              </w:rPr>
              <w:t>第五章合同条款</w:t>
            </w:r>
          </w:p>
        </w:tc>
      </w:tr>
      <w:tr w14:paraId="0D91FE2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572CB615">
            <w:pPr>
              <w:shd w:val="solid" w:color="FFFFFF" w:fill="auto"/>
              <w:autoSpaceDN w:val="0"/>
              <w:snapToGrid w:val="0"/>
              <w:spacing w:line="360" w:lineRule="auto"/>
              <w:jc w:val="center"/>
              <w:rPr>
                <w:rFonts w:hint="eastAsia" w:ascii="宋体" w:hAnsi="宋体"/>
                <w:color w:val="auto"/>
                <w:szCs w:val="21"/>
                <w:highlight w:val="none"/>
                <w:shd w:val="clear" w:color="auto" w:fill="FFFFFF"/>
              </w:rPr>
            </w:pPr>
            <w:r>
              <w:rPr>
                <w:rFonts w:ascii="宋体" w:hAnsi="宋体"/>
                <w:color w:val="auto"/>
                <w:szCs w:val="21"/>
                <w:highlight w:val="none"/>
                <w:shd w:val="clear" w:color="auto" w:fill="FFFFFF"/>
              </w:rPr>
              <w:t>售后服务保障或维修响应时间要求</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695218E5">
            <w:pPr>
              <w:shd w:val="solid" w:color="FFFFFF" w:fill="auto"/>
              <w:autoSpaceDN w:val="0"/>
              <w:snapToGrid w:val="0"/>
              <w:spacing w:line="360" w:lineRule="auto"/>
              <w:jc w:val="left"/>
              <w:rPr>
                <w:rFonts w:hint="eastAsia" w:ascii="宋体" w:hAnsi="宋体"/>
                <w:color w:val="auto"/>
                <w:szCs w:val="21"/>
                <w:highlight w:val="none"/>
                <w:shd w:val="clear" w:color="auto" w:fill="FFFFFF"/>
              </w:rPr>
            </w:pPr>
            <w:r>
              <w:rPr>
                <w:rFonts w:hint="eastAsia" w:ascii="宋体" w:hAnsi="宋体" w:cs="宋体"/>
                <w:color w:val="auto"/>
                <w:szCs w:val="21"/>
                <w:highlight w:val="none"/>
              </w:rPr>
              <w:t>乙方</w:t>
            </w:r>
            <w:r>
              <w:rPr>
                <w:rFonts w:hint="eastAsia" w:ascii="宋体" w:hAnsi="宋体" w:cs="宋体"/>
                <w:color w:val="auto"/>
                <w:szCs w:val="21"/>
                <w:highlight w:val="none"/>
                <w:u w:val="single"/>
              </w:rPr>
              <w:t xml:space="preserve"> 4 </w:t>
            </w:r>
            <w:r>
              <w:rPr>
                <w:rFonts w:hint="eastAsia" w:ascii="宋体" w:hAnsi="宋体" w:cs="宋体"/>
                <w:color w:val="auto"/>
                <w:szCs w:val="21"/>
                <w:highlight w:val="none"/>
              </w:rPr>
              <w:t>小时内响应甲方的维修要求，</w:t>
            </w:r>
            <w:r>
              <w:rPr>
                <w:rFonts w:hint="eastAsia" w:ascii="宋体" w:hAnsi="宋体" w:cs="宋体"/>
                <w:color w:val="auto"/>
                <w:szCs w:val="21"/>
                <w:highlight w:val="none"/>
                <w:u w:val="single"/>
              </w:rPr>
              <w:t xml:space="preserve"> 12 </w:t>
            </w:r>
            <w:r>
              <w:rPr>
                <w:rFonts w:hint="eastAsia" w:ascii="宋体" w:hAnsi="宋体" w:cs="宋体"/>
                <w:color w:val="auto"/>
                <w:szCs w:val="21"/>
                <w:highlight w:val="none"/>
              </w:rPr>
              <w:t>小时内解决，如超过</w:t>
            </w:r>
            <w:r>
              <w:rPr>
                <w:rFonts w:hint="eastAsia" w:ascii="宋体" w:hAnsi="宋体" w:cs="宋体"/>
                <w:color w:val="auto"/>
                <w:szCs w:val="21"/>
                <w:highlight w:val="none"/>
                <w:u w:val="single"/>
              </w:rPr>
              <w:t xml:space="preserve"> 48 </w:t>
            </w:r>
            <w:r>
              <w:rPr>
                <w:rFonts w:hint="eastAsia" w:ascii="宋体" w:hAnsi="宋体" w:cs="宋体"/>
                <w:color w:val="auto"/>
                <w:szCs w:val="21"/>
                <w:highlight w:val="none"/>
              </w:rPr>
              <w:t>小时仍不能解决，由乙方在</w:t>
            </w:r>
            <w:r>
              <w:rPr>
                <w:rFonts w:hint="eastAsia" w:ascii="宋体" w:hAnsi="宋体" w:cs="宋体"/>
                <w:color w:val="auto"/>
                <w:szCs w:val="21"/>
                <w:highlight w:val="none"/>
                <w:u w:val="single"/>
              </w:rPr>
              <w:t xml:space="preserve"> 72 </w:t>
            </w:r>
            <w:r>
              <w:rPr>
                <w:rFonts w:hint="eastAsia" w:ascii="宋体" w:hAnsi="宋体" w:cs="宋体"/>
                <w:color w:val="auto"/>
                <w:szCs w:val="21"/>
                <w:highlight w:val="none"/>
              </w:rPr>
              <w:t>小时内提供性能不低于故障产品的备用产品。</w:t>
            </w:r>
          </w:p>
        </w:tc>
      </w:tr>
    </w:tbl>
    <w:p w14:paraId="54B4433B">
      <w:pPr>
        <w:spacing w:line="300" w:lineRule="auto"/>
        <w:ind w:firstLine="480" w:firstLineChars="200"/>
        <w:rPr>
          <w:rFonts w:ascii="宋体" w:hAnsi="宋体"/>
          <w:color w:val="000000"/>
          <w:sz w:val="24"/>
          <w:highlight w:val="none"/>
        </w:rPr>
      </w:pPr>
    </w:p>
    <w:p w14:paraId="12A81740">
      <w:pPr>
        <w:spacing w:line="300" w:lineRule="auto"/>
        <w:ind w:firstLine="482" w:firstLineChars="200"/>
        <w:rPr>
          <w:rFonts w:ascii="宋体" w:hAnsi="宋体"/>
          <w:b/>
          <w:color w:val="000000"/>
          <w:sz w:val="24"/>
          <w:highlight w:val="none"/>
        </w:rPr>
      </w:pPr>
      <w:r>
        <w:rPr>
          <w:rFonts w:hint="eastAsia" w:ascii="宋体" w:hAnsi="宋体"/>
          <w:b/>
          <w:color w:val="000000"/>
          <w:sz w:val="24"/>
          <w:highlight w:val="none"/>
        </w:rPr>
        <w:t>五、履约验收要求</w:t>
      </w:r>
    </w:p>
    <w:p w14:paraId="7177B380">
      <w:pPr>
        <w:spacing w:line="300" w:lineRule="auto"/>
        <w:ind w:firstLine="480" w:firstLineChars="200"/>
        <w:rPr>
          <w:rFonts w:ascii="宋体" w:hAnsi="宋体"/>
          <w:color w:val="000000"/>
          <w:sz w:val="24"/>
          <w:highlight w:val="none"/>
        </w:rPr>
      </w:pPr>
      <w:r>
        <w:rPr>
          <w:rFonts w:hint="eastAsia" w:ascii="宋体" w:hAnsi="宋体"/>
          <w:color w:val="000000"/>
          <w:sz w:val="24"/>
          <w:highlight w:val="none"/>
        </w:rPr>
        <w:t>中标人严格按约定时间供货，提供的货物必须符合我国最新颁布的与之相关的技术规范与标准，成品货物的到货验收包括但不限于：品名、品牌、尺码、数量、质量、铭牌、产品外观及外包装完整无破损。</w:t>
      </w:r>
    </w:p>
    <w:p w14:paraId="49D9912B">
      <w:pPr>
        <w:spacing w:line="300" w:lineRule="auto"/>
        <w:ind w:firstLine="480" w:firstLineChars="200"/>
        <w:rPr>
          <w:rFonts w:ascii="宋体" w:hAnsi="宋体"/>
          <w:color w:val="000000"/>
          <w:sz w:val="24"/>
          <w:highlight w:val="none"/>
        </w:rPr>
      </w:pPr>
      <w:r>
        <w:rPr>
          <w:rFonts w:hint="eastAsia" w:ascii="宋体" w:hAnsi="宋体"/>
          <w:color w:val="000000"/>
          <w:sz w:val="24"/>
          <w:highlight w:val="none"/>
        </w:rPr>
        <w:t>中标人应将所提供货物的装箱清单、用户手册、原厂保修卡、随机资料及配件工具等交付给采购人。中标人不能完整交付货物及本款规定的单证和工具的，视为未按合同约定交货，应负责补齐，因此导致逾期交付的，由中标人承担相关的违约责任。</w:t>
      </w:r>
    </w:p>
    <w:p w14:paraId="4D1C94DD">
      <w:pPr>
        <w:spacing w:line="300" w:lineRule="auto"/>
        <w:ind w:firstLine="480" w:firstLineChars="200"/>
        <w:rPr>
          <w:rFonts w:ascii="宋体" w:hAnsi="宋体"/>
          <w:color w:val="000000"/>
          <w:sz w:val="24"/>
          <w:highlight w:val="none"/>
        </w:rPr>
      </w:pPr>
      <w:r>
        <w:rPr>
          <w:rFonts w:hint="eastAsia" w:ascii="宋体" w:hAnsi="宋体"/>
          <w:color w:val="000000"/>
          <w:sz w:val="24"/>
          <w:highlight w:val="none"/>
        </w:rPr>
        <w:t>中标人在交货前应对所有货物初步检查，并列出清单，作为采购人收货验收和使用的技术条件依据，清单应随货物一起交付采购人。</w:t>
      </w:r>
    </w:p>
    <w:p w14:paraId="574FBC1D">
      <w:pPr>
        <w:spacing w:line="300" w:lineRule="auto"/>
        <w:ind w:firstLine="480" w:firstLineChars="200"/>
        <w:rPr>
          <w:rFonts w:ascii="宋体" w:hAnsi="宋体"/>
          <w:color w:val="000000"/>
          <w:sz w:val="24"/>
          <w:highlight w:val="none"/>
        </w:rPr>
      </w:pPr>
      <w:r>
        <w:rPr>
          <w:rFonts w:hint="eastAsia" w:ascii="宋体" w:hAnsi="宋体"/>
          <w:color w:val="000000"/>
          <w:sz w:val="24"/>
          <w:highlight w:val="none"/>
        </w:rPr>
        <w:t>货物运抵采购人指定地点，采购人检查和记录外包装及设备外观状况有无破损、锈蚀、受潮等，按合同和装箱单对货物的外观、质量、型号、规格、数量、配件及附件等进行清点检验。清点无误后中标方需在3天内开始组织安装、调试、培训，并取得相关完成凭证提交采购人。</w:t>
      </w:r>
    </w:p>
    <w:p w14:paraId="352F99A3">
      <w:pPr>
        <w:spacing w:line="300" w:lineRule="auto"/>
        <w:ind w:firstLine="480" w:firstLineChars="200"/>
        <w:rPr>
          <w:rFonts w:ascii="宋体" w:hAnsi="宋体"/>
          <w:color w:val="000000"/>
          <w:sz w:val="24"/>
          <w:highlight w:val="none"/>
        </w:rPr>
      </w:pPr>
      <w:r>
        <w:rPr>
          <w:rFonts w:hint="eastAsia" w:ascii="宋体" w:hAnsi="宋体"/>
          <w:color w:val="000000"/>
          <w:sz w:val="24"/>
          <w:highlight w:val="none"/>
        </w:rPr>
        <w:t>采购人试运行合格两周内依法组织验收工作。采购人在组织履约验收前，将根据项目特点制定验收方案，明确履约验收的时间、方式、程序等内容，中标人应根据验收方案内容做好相应配合工作。如有必要，采购人邀请参加本项目的其他供应商或第三方专业机构及专家参与验收，相关意见将作为验收的参考资料。采购人成立验收小组，按照采购合同的约定对中标人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中标人承担一切责任，并赔偿所造成的损失。</w:t>
      </w:r>
    </w:p>
    <w:p w14:paraId="21EFD6B0">
      <w:pPr>
        <w:spacing w:line="300" w:lineRule="auto"/>
        <w:ind w:firstLine="480" w:firstLineChars="200"/>
        <w:rPr>
          <w:rFonts w:ascii="宋体" w:hAnsi="宋体"/>
          <w:color w:val="000000"/>
          <w:sz w:val="24"/>
          <w:highlight w:val="none"/>
        </w:rPr>
      </w:pPr>
      <w:r>
        <w:rPr>
          <w:rFonts w:hint="eastAsia" w:ascii="宋体" w:hAnsi="宋体"/>
          <w:color w:val="000000"/>
          <w:sz w:val="24"/>
          <w:highlight w:val="none"/>
        </w:rPr>
        <w:t>验收结束后，验收小组出具验收报告，列明各项标准的验收情况及项目总体评价。验收合格的项目，采购人根据采购合同的约定及时向中标人支付合同款项、退还履约保证金。验收不合格的项目，采购人依法及时处理。采购合同的履行、违约责任和解决争议的方式等适用《中华人民共和国民法典》。中标人在履约过程中有政府采购法律法规规定的违法违规情形的，采购人将及时报告相关管理部门。</w:t>
      </w:r>
    </w:p>
    <w:p w14:paraId="7B4E1A3E">
      <w:pPr>
        <w:spacing w:line="300" w:lineRule="auto"/>
        <w:ind w:firstLine="482" w:firstLineChars="200"/>
        <w:rPr>
          <w:rFonts w:ascii="宋体" w:hAnsi="宋体"/>
          <w:b/>
          <w:color w:val="000000"/>
          <w:sz w:val="24"/>
          <w:highlight w:val="none"/>
        </w:rPr>
      </w:pPr>
      <w:r>
        <w:rPr>
          <w:rFonts w:hint="eastAsia" w:ascii="宋体" w:hAnsi="宋体"/>
          <w:b/>
          <w:color w:val="000000"/>
          <w:sz w:val="24"/>
          <w:highlight w:val="none"/>
        </w:rPr>
        <w:t>六、其它要求</w:t>
      </w:r>
    </w:p>
    <w:p w14:paraId="7EB9DA38">
      <w:pPr>
        <w:spacing w:line="300" w:lineRule="auto"/>
        <w:ind w:firstLine="480" w:firstLineChars="200"/>
        <w:rPr>
          <w:rFonts w:ascii="宋体" w:hAnsi="宋体" w:cs="MS Shell Dlg"/>
          <w:sz w:val="24"/>
          <w:highlight w:val="none"/>
        </w:rPr>
      </w:pPr>
      <w:r>
        <w:rPr>
          <w:rFonts w:hint="eastAsia" w:ascii="宋体" w:hAnsi="宋体" w:cs="MS Shell Dlg"/>
          <w:sz w:val="24"/>
          <w:highlight w:val="none"/>
        </w:rPr>
        <w:t>(1)因不同投标人的设备设计原理未必完全相同，投标人可视自身情况配置设备及附件，但应能充分满足招标人的功能及参数要求。</w:t>
      </w:r>
    </w:p>
    <w:p w14:paraId="12A1E06A">
      <w:pPr>
        <w:spacing w:line="300" w:lineRule="auto"/>
        <w:ind w:firstLine="480" w:firstLineChars="200"/>
        <w:rPr>
          <w:rFonts w:ascii="宋体" w:hAnsi="宋体" w:cs="MS Shell Dlg"/>
          <w:sz w:val="24"/>
          <w:highlight w:val="none"/>
        </w:rPr>
      </w:pPr>
      <w:r>
        <w:rPr>
          <w:rFonts w:hint="eastAsia" w:ascii="宋体" w:hAnsi="宋体" w:cs="MS Shell Dlg"/>
          <w:sz w:val="24"/>
          <w:highlight w:val="none"/>
        </w:rPr>
        <w:t>(2)投标人应保证提供满足招标人正常使用的必要配置及附件而不再需要花费任何额外的费用，即使采购方在制定招标书时要求不够具体。安装后就能正常工作。</w:t>
      </w:r>
    </w:p>
    <w:p w14:paraId="1EC00257">
      <w:pPr>
        <w:spacing w:line="300" w:lineRule="auto"/>
        <w:ind w:firstLine="480" w:firstLineChars="200"/>
        <w:rPr>
          <w:rFonts w:ascii="宋体" w:hAnsi="宋体" w:cs="MS Shell Dlg"/>
          <w:sz w:val="24"/>
          <w:highlight w:val="none"/>
        </w:rPr>
      </w:pPr>
      <w:r>
        <w:rPr>
          <w:rFonts w:hint="eastAsia" w:ascii="宋体" w:hAnsi="宋体" w:cs="MS Shell Dlg"/>
          <w:sz w:val="24"/>
          <w:highlight w:val="none"/>
        </w:rPr>
        <w:t>(3)房屋装修改造工程室内环境必须符合GB50325-2001《民用建筑工程室内环境污染控制规范》,并达到GB/T18883-2002《室内空气质量标准》，项目竣工后由中标人委托市级及以上检测机构进行检测并出具合格报告，如无合格报告，招标人不予验收，中标人进行整改直至合格，造成工期延误的，责任由中标人承担。</w:t>
      </w:r>
    </w:p>
    <w:p w14:paraId="66819314"/>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20B0604020202030204"/>
    <w:charset w:val="00"/>
    <w:family w:val="swiss"/>
    <w:pitch w:val="default"/>
    <w:sig w:usb0="00000000" w:usb1="00000000" w:usb2="00000000" w:usb3="00000000" w:csb0="00000000" w:csb1="00000000"/>
  </w:font>
  <w:font w:name="MS Shell Dlg">
    <w:altName w:val="Microsoft Sans Serif"/>
    <w:panose1 w:val="020B0604020202020204"/>
    <w:charset w:val="00"/>
    <w:family w:val="swiss"/>
    <w:pitch w:val="default"/>
    <w:sig w:usb0="00000000" w:usb1="0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087DE">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7C2AE74">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77C2AE74">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D7220D"/>
    <w:rsid w:val="26D722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普通(网站)_0"/>
    <w:basedOn w:val="1"/>
    <w:qFormat/>
    <w:uiPriority w:val="99"/>
    <w:pPr>
      <w:widowControl/>
      <w:jc w:val="left"/>
    </w:pPr>
    <w:rPr>
      <w:rFonts w:ascii="宋体" w:hAnsi="宋体" w:cs="宋体"/>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2026-06-12T09:01:00Z</dcterms:created>
  <dc:creator>一秀</dc:creator>
  <cp:lastModifiedBy>一秀</cp:lastModifiedBy>
  <dcterms:modified xsi:type="dcterms:W3CDTF">2026-06-12T09:03:35Z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7BB0769DD5134F93A9574F5B49690905_11</vt:lpwstr>
  </property>
  <property fmtid="{D5CDD505-2E9C-101B-9397-08002B2CF9AE}" pid="4" name="KSOTemplateDocerSaveRecord">
    <vt:lpwstr>eyJoZGlkIjoiNWM3ZTlmNDJlNDA0ZjExYzBmYjlhYjZkMjg5OTgyNTciLCJ1c2VySWQiOiIxMTAwMDQwOTMzIn0=</vt:lpwstr>
  </property>
</Properties>
</file>