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440C88">
      <w:pPr>
        <w:widowControl/>
        <w:jc w:val="center"/>
        <w:rPr>
          <w:b/>
          <w:color w:val="auto"/>
          <w:sz w:val="32"/>
          <w:szCs w:val="32"/>
          <w:highlight w:val="none"/>
        </w:rPr>
      </w:pPr>
      <w:r>
        <w:rPr>
          <w:rFonts w:hint="eastAsia"/>
          <w:b/>
          <w:color w:val="auto"/>
          <w:sz w:val="32"/>
          <w:szCs w:val="32"/>
          <w:highlight w:val="none"/>
        </w:rPr>
        <w:t xml:space="preserve">第四章 </w:t>
      </w:r>
      <w:bookmarkStart w:id="0" w:name="_GoBack"/>
      <w:r>
        <w:rPr>
          <w:rFonts w:hint="eastAsia"/>
          <w:b/>
          <w:color w:val="auto"/>
          <w:sz w:val="32"/>
          <w:szCs w:val="32"/>
          <w:highlight w:val="none"/>
        </w:rPr>
        <w:t>项目（货物或者服务）需求说明</w:t>
      </w:r>
      <w:bookmarkEnd w:id="0"/>
    </w:p>
    <w:p w14:paraId="779F087D">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一、项目背景（或概况）：</w:t>
      </w:r>
    </w:p>
    <w:p w14:paraId="1BD71D57">
      <w:pPr>
        <w:spacing w:line="300" w:lineRule="auto"/>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在海洋经济快速发展的大环境下，近海工程运维、海底设施巡检、水域环境监测等水下作业任务日益增多。传统人工潜水方式风险高、效率低、作业范围受限，行业对智能化水下作业装备需求迫切。水下机器人已广泛应用于各类水下场景，但缺少专用一体化作业平台，导致设备布放回收不便、持续作业能力不足。为解决现有痛点，提升水下作业综合效能，本项目开展水下作业平台建设，集成运载、操控、布收、保障等功能，实现水下机器人系统化作业，助力海洋工程与</w:t>
      </w:r>
      <w:r>
        <w:rPr>
          <w:rFonts w:hint="eastAsia" w:ascii="宋体" w:hAnsi="宋体" w:cs="宋体"/>
          <w:color w:val="auto"/>
          <w:kern w:val="0"/>
          <w:sz w:val="24"/>
          <w:szCs w:val="24"/>
          <w:highlight w:val="none"/>
          <w:lang w:val="en-US" w:eastAsia="zh-CN" w:bidi="ar"/>
        </w:rPr>
        <w:t>海底</w:t>
      </w:r>
      <w:r>
        <w:rPr>
          <w:rFonts w:hint="eastAsia" w:ascii="宋体" w:hAnsi="宋体" w:eastAsia="宋体" w:cs="宋体"/>
          <w:color w:val="auto"/>
          <w:kern w:val="0"/>
          <w:sz w:val="24"/>
          <w:szCs w:val="24"/>
          <w:highlight w:val="none"/>
          <w:lang w:val="en-US" w:eastAsia="zh-CN" w:bidi="ar"/>
        </w:rPr>
        <w:t>运维工作高效开展。</w:t>
      </w:r>
    </w:p>
    <w:p w14:paraId="228FE1FE">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二、货物（标的）采购清单：</w:t>
      </w:r>
      <w:r>
        <w:rPr>
          <w:rFonts w:hint="eastAsia" w:ascii="宋体" w:hAnsi="宋体"/>
          <w:color w:val="auto"/>
          <w:sz w:val="24"/>
          <w:highlight w:val="none"/>
        </w:rPr>
        <w:t>（核心产品）</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402"/>
        <w:gridCol w:w="816"/>
        <w:gridCol w:w="885"/>
      </w:tblGrid>
      <w:tr w14:paraId="43303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4D5B4D7C">
            <w:pPr>
              <w:widowControl/>
              <w:jc w:val="center"/>
              <w:rPr>
                <w:rFonts w:ascii="宋体" w:hAnsi="宋体" w:cs="Helvetica"/>
                <w:b/>
                <w:color w:val="auto"/>
                <w:sz w:val="24"/>
                <w:highlight w:val="none"/>
              </w:rPr>
            </w:pPr>
            <w:r>
              <w:rPr>
                <w:rFonts w:hint="eastAsia" w:ascii="宋体" w:hAnsi="宋体" w:cs="Helvetica"/>
                <w:b/>
                <w:color w:val="auto"/>
                <w:sz w:val="24"/>
                <w:highlight w:val="none"/>
              </w:rPr>
              <w:t>序号</w:t>
            </w:r>
          </w:p>
        </w:tc>
        <w:tc>
          <w:tcPr>
            <w:tcW w:w="3402" w:type="dxa"/>
            <w:vAlign w:val="center"/>
          </w:tcPr>
          <w:p w14:paraId="308AEE25">
            <w:pPr>
              <w:widowControl/>
              <w:jc w:val="center"/>
              <w:rPr>
                <w:rFonts w:ascii="宋体" w:hAnsi="宋体" w:cs="Helvetica"/>
                <w:b/>
                <w:color w:val="auto"/>
                <w:sz w:val="24"/>
                <w:highlight w:val="none"/>
              </w:rPr>
            </w:pPr>
            <w:r>
              <w:rPr>
                <w:rFonts w:hint="eastAsia" w:ascii="宋体" w:hAnsi="宋体" w:cs="Helvetica"/>
                <w:b/>
                <w:color w:val="auto"/>
                <w:sz w:val="24"/>
                <w:highlight w:val="none"/>
              </w:rPr>
              <w:t>货物名称</w:t>
            </w:r>
          </w:p>
        </w:tc>
        <w:tc>
          <w:tcPr>
            <w:tcW w:w="816" w:type="dxa"/>
            <w:vAlign w:val="center"/>
          </w:tcPr>
          <w:p w14:paraId="20F7A94F">
            <w:pPr>
              <w:widowControl/>
              <w:jc w:val="center"/>
              <w:rPr>
                <w:rFonts w:ascii="宋体" w:hAnsi="Calibri"/>
                <w:b/>
                <w:color w:val="auto"/>
                <w:sz w:val="24"/>
                <w:highlight w:val="none"/>
              </w:rPr>
            </w:pPr>
            <w:r>
              <w:rPr>
                <w:rFonts w:hint="eastAsia" w:ascii="Calibri" w:hAnsi="Calibri"/>
                <w:b/>
                <w:color w:val="auto"/>
                <w:sz w:val="24"/>
                <w:highlight w:val="none"/>
              </w:rPr>
              <w:t>数量</w:t>
            </w:r>
          </w:p>
        </w:tc>
        <w:tc>
          <w:tcPr>
            <w:tcW w:w="885" w:type="dxa"/>
            <w:vAlign w:val="center"/>
          </w:tcPr>
          <w:p w14:paraId="4EFA65F6">
            <w:pPr>
              <w:widowControl/>
              <w:jc w:val="center"/>
              <w:rPr>
                <w:rFonts w:ascii="Calibri" w:hAnsi="Calibri"/>
                <w:b/>
                <w:color w:val="auto"/>
                <w:sz w:val="24"/>
                <w:highlight w:val="none"/>
              </w:rPr>
            </w:pPr>
            <w:r>
              <w:rPr>
                <w:rFonts w:hint="eastAsia" w:ascii="Calibri" w:hAnsi="Calibri"/>
                <w:b/>
                <w:color w:val="auto"/>
                <w:sz w:val="24"/>
                <w:highlight w:val="none"/>
              </w:rPr>
              <w:t>单位</w:t>
            </w:r>
          </w:p>
        </w:tc>
      </w:tr>
      <w:tr w14:paraId="67DE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top"/>
          </w:tcPr>
          <w:p w14:paraId="77B99B75">
            <w:pPr>
              <w:widowControl/>
              <w:jc w:val="center"/>
              <w:rPr>
                <w:rFonts w:ascii="宋体" w:hAnsi="宋体" w:cs="Helvetica"/>
                <w:color w:val="auto"/>
                <w:sz w:val="24"/>
                <w:highlight w:val="none"/>
              </w:rPr>
            </w:pPr>
            <w:r>
              <w:rPr>
                <w:rFonts w:hint="eastAsia" w:ascii="宋体" w:hAnsi="宋体" w:cs="Helvetica"/>
                <w:color w:val="auto"/>
                <w:sz w:val="24"/>
                <w:highlight w:val="none"/>
                <w:lang w:val="en-US" w:eastAsia="zh-CN"/>
              </w:rPr>
              <w:t>1</w:t>
            </w:r>
            <w:r>
              <w:rPr>
                <w:rFonts w:hint="eastAsia" w:ascii="宋体" w:hAnsi="宋体" w:cs="Helvetica"/>
                <w:color w:val="auto"/>
                <w:sz w:val="24"/>
                <w:highlight w:val="none"/>
              </w:rPr>
              <w:t xml:space="preserve"> </w:t>
            </w:r>
          </w:p>
        </w:tc>
        <w:tc>
          <w:tcPr>
            <w:tcW w:w="3402" w:type="dxa"/>
            <w:vAlign w:val="center"/>
          </w:tcPr>
          <w:p w14:paraId="6A979080">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水下</w:t>
            </w:r>
            <w:r>
              <w:rPr>
                <w:rFonts w:hint="eastAsia" w:ascii="宋体" w:hAnsi="宋体" w:cs="宋体"/>
                <w:color w:val="auto"/>
                <w:sz w:val="24"/>
                <w:highlight w:val="none"/>
                <w:lang w:val="en-US" w:eastAsia="zh-CN"/>
              </w:rPr>
              <w:t>作业平台</w:t>
            </w:r>
          </w:p>
        </w:tc>
        <w:tc>
          <w:tcPr>
            <w:tcW w:w="816" w:type="dxa"/>
            <w:vAlign w:val="center"/>
          </w:tcPr>
          <w:p w14:paraId="323D8CEF">
            <w:pPr>
              <w:jc w:val="center"/>
              <w:rPr>
                <w:rFonts w:ascii="宋体" w:hAnsi="宋体" w:cs="宋体"/>
                <w:color w:val="auto"/>
                <w:sz w:val="24"/>
                <w:highlight w:val="none"/>
              </w:rPr>
            </w:pPr>
            <w:r>
              <w:rPr>
                <w:rFonts w:hint="eastAsia" w:ascii="宋体" w:hAnsi="宋体" w:cs="宋体"/>
                <w:color w:val="auto"/>
                <w:sz w:val="24"/>
                <w:highlight w:val="none"/>
                <w:lang w:val="en-US" w:eastAsia="zh-CN"/>
              </w:rPr>
              <w:t>1</w:t>
            </w:r>
          </w:p>
        </w:tc>
        <w:tc>
          <w:tcPr>
            <w:tcW w:w="885" w:type="dxa"/>
            <w:vAlign w:val="center"/>
          </w:tcPr>
          <w:p w14:paraId="2A236ACE">
            <w:pPr>
              <w:jc w:val="center"/>
              <w:rPr>
                <w:rFonts w:ascii="宋体" w:hAnsi="宋体" w:cs="宋体"/>
                <w:color w:val="auto"/>
                <w:sz w:val="24"/>
                <w:highlight w:val="none"/>
              </w:rPr>
            </w:pPr>
            <w:r>
              <w:rPr>
                <w:rFonts w:hint="eastAsia" w:ascii="宋体" w:hAnsi="宋体" w:cs="宋体"/>
                <w:color w:val="auto"/>
                <w:sz w:val="24"/>
                <w:highlight w:val="none"/>
                <w:lang w:val="en-US" w:eastAsia="zh-CN"/>
              </w:rPr>
              <w:t>套</w:t>
            </w:r>
          </w:p>
        </w:tc>
      </w:tr>
    </w:tbl>
    <w:p w14:paraId="7C982318">
      <w:pPr>
        <w:spacing w:line="300" w:lineRule="auto"/>
        <w:ind w:firstLine="420" w:firstLineChars="200"/>
        <w:rPr>
          <w:rFonts w:ascii="宋体" w:hAnsi="宋体"/>
          <w:color w:val="auto"/>
          <w:szCs w:val="21"/>
          <w:highlight w:val="none"/>
        </w:rPr>
      </w:pPr>
    </w:p>
    <w:p w14:paraId="78D5C499">
      <w:pPr>
        <w:spacing w:line="300" w:lineRule="auto"/>
        <w:ind w:firstLine="480" w:firstLineChars="200"/>
        <w:rPr>
          <w:rFonts w:ascii="宋体" w:hAnsi="宋体"/>
          <w:color w:val="auto"/>
          <w:szCs w:val="21"/>
          <w:highlight w:val="none"/>
          <w:u w:val="single"/>
        </w:rPr>
      </w:pPr>
      <w:r>
        <w:rPr>
          <w:rFonts w:hint="eastAsia" w:ascii="宋体" w:hAnsi="宋体"/>
          <w:color w:val="auto"/>
          <w:sz w:val="24"/>
          <w:highlight w:val="none"/>
        </w:rPr>
        <w:t>三、货物技术参数及功能指标：</w:t>
      </w:r>
      <w:r>
        <w:rPr>
          <w:rFonts w:hint="eastAsia" w:ascii="宋体" w:hAnsi="宋体"/>
          <w:color w:val="auto"/>
          <w:sz w:val="24"/>
          <w:highlight w:val="none"/>
          <w:u w:val="single"/>
        </w:rPr>
        <w:t>所有标注▲的实质性技术条款，投标人须在投标文件中附有效证明材料（产品说明书</w:t>
      </w:r>
      <w:r>
        <w:rPr>
          <w:rFonts w:hint="eastAsia" w:ascii="宋体" w:hAnsi="宋体"/>
          <w:color w:val="auto"/>
          <w:sz w:val="24"/>
          <w:highlight w:val="none"/>
          <w:u w:val="single"/>
          <w:lang w:eastAsia="zh-CN"/>
        </w:rPr>
        <w:t>或</w:t>
      </w:r>
      <w:r>
        <w:rPr>
          <w:rFonts w:hint="eastAsia" w:ascii="宋体" w:hAnsi="宋体"/>
          <w:color w:val="auto"/>
          <w:sz w:val="24"/>
          <w:highlight w:val="none"/>
          <w:u w:val="single"/>
        </w:rPr>
        <w:t>技术图纸</w:t>
      </w:r>
      <w:r>
        <w:rPr>
          <w:rFonts w:hint="eastAsia" w:ascii="宋体" w:hAnsi="宋体"/>
          <w:color w:val="auto"/>
          <w:sz w:val="24"/>
          <w:highlight w:val="none"/>
          <w:u w:val="single"/>
          <w:lang w:eastAsia="zh-CN"/>
        </w:rPr>
        <w:t>或</w:t>
      </w:r>
      <w:r>
        <w:rPr>
          <w:rFonts w:hint="eastAsia" w:ascii="宋体" w:hAnsi="宋体"/>
          <w:color w:val="auto"/>
          <w:sz w:val="24"/>
          <w:highlight w:val="none"/>
          <w:u w:val="single"/>
        </w:rPr>
        <w:t>官网截图</w:t>
      </w:r>
      <w:r>
        <w:rPr>
          <w:rFonts w:hint="eastAsia" w:ascii="宋体" w:hAnsi="宋体"/>
          <w:color w:val="auto"/>
          <w:sz w:val="24"/>
          <w:highlight w:val="none"/>
          <w:u w:val="single"/>
          <w:lang w:eastAsia="zh-CN"/>
        </w:rPr>
        <w:t>或</w:t>
      </w:r>
      <w:r>
        <w:rPr>
          <w:rFonts w:hint="eastAsia" w:ascii="宋体" w:hAnsi="宋体"/>
          <w:color w:val="auto"/>
          <w:sz w:val="24"/>
          <w:highlight w:val="none"/>
          <w:u w:val="single"/>
        </w:rPr>
        <w:t>出厂检测资料</w:t>
      </w:r>
      <w:r>
        <w:rPr>
          <w:rFonts w:hint="eastAsia" w:ascii="宋体" w:hAnsi="宋体"/>
          <w:color w:val="auto"/>
          <w:sz w:val="24"/>
          <w:highlight w:val="none"/>
          <w:u w:val="single"/>
          <w:lang w:eastAsia="zh-CN"/>
        </w:rPr>
        <w:t>或</w:t>
      </w:r>
      <w:r>
        <w:rPr>
          <w:rFonts w:hint="eastAsia" w:ascii="宋体" w:hAnsi="宋体"/>
          <w:color w:val="auto"/>
          <w:sz w:val="24"/>
          <w:highlight w:val="none"/>
          <w:u w:val="single"/>
        </w:rPr>
        <w:t>功能截图</w:t>
      </w:r>
      <w:r>
        <w:rPr>
          <w:rFonts w:hint="eastAsia" w:ascii="宋体" w:hAnsi="宋体"/>
          <w:color w:val="auto"/>
          <w:sz w:val="24"/>
          <w:highlight w:val="none"/>
          <w:u w:val="single"/>
          <w:lang w:eastAsia="zh-CN"/>
        </w:rPr>
        <w:t>或</w:t>
      </w:r>
      <w:r>
        <w:rPr>
          <w:rFonts w:hint="eastAsia" w:ascii="宋体" w:hAnsi="宋体"/>
          <w:color w:val="auto"/>
          <w:sz w:val="24"/>
          <w:highlight w:val="none"/>
          <w:u w:val="single"/>
        </w:rPr>
        <w:t>原厂技术说明等）予以佐证，未提供佐证材料或材料与参数要求不符的，按负偏离处理。</w:t>
      </w:r>
    </w:p>
    <w:tbl>
      <w:tblPr>
        <w:tblStyle w:val="2"/>
        <w:tblW w:w="847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59"/>
        <w:gridCol w:w="6210"/>
      </w:tblGrid>
      <w:tr w14:paraId="32D8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34AE6B73">
            <w:pPr>
              <w:widowControl/>
              <w:jc w:val="center"/>
              <w:rPr>
                <w:rFonts w:ascii="宋体" w:hAnsi="宋体" w:cs="Helvetica"/>
                <w:b/>
                <w:color w:val="auto"/>
                <w:sz w:val="24"/>
                <w:highlight w:val="none"/>
              </w:rPr>
            </w:pPr>
            <w:r>
              <w:rPr>
                <w:rFonts w:hint="eastAsia" w:ascii="宋体" w:hAnsi="宋体" w:cs="Helvetica"/>
                <w:b/>
                <w:color w:val="auto"/>
                <w:sz w:val="24"/>
                <w:highlight w:val="none"/>
              </w:rPr>
              <w:t>序号</w:t>
            </w:r>
          </w:p>
        </w:tc>
        <w:tc>
          <w:tcPr>
            <w:tcW w:w="1559" w:type="dxa"/>
            <w:vAlign w:val="center"/>
          </w:tcPr>
          <w:p w14:paraId="6227D105">
            <w:pPr>
              <w:widowControl/>
              <w:jc w:val="center"/>
              <w:rPr>
                <w:rFonts w:ascii="宋体" w:hAnsi="宋体" w:cs="Helvetica"/>
                <w:b/>
                <w:color w:val="auto"/>
                <w:sz w:val="24"/>
                <w:highlight w:val="none"/>
              </w:rPr>
            </w:pPr>
            <w:r>
              <w:rPr>
                <w:rFonts w:hint="eastAsia" w:ascii="宋体" w:hAnsi="宋体" w:cs="Helvetica"/>
                <w:b/>
                <w:color w:val="auto"/>
                <w:sz w:val="24"/>
                <w:highlight w:val="none"/>
              </w:rPr>
              <w:t>货物名称</w:t>
            </w:r>
          </w:p>
        </w:tc>
        <w:tc>
          <w:tcPr>
            <w:tcW w:w="6210" w:type="dxa"/>
            <w:vAlign w:val="center"/>
          </w:tcPr>
          <w:p w14:paraId="26E3F57F">
            <w:pPr>
              <w:widowControl/>
              <w:jc w:val="center"/>
              <w:rPr>
                <w:rFonts w:ascii="宋体" w:hAnsi="宋体" w:cs="Helvetica"/>
                <w:b/>
                <w:color w:val="auto"/>
                <w:sz w:val="24"/>
                <w:highlight w:val="none"/>
              </w:rPr>
            </w:pPr>
            <w:r>
              <w:rPr>
                <w:rFonts w:hint="eastAsia" w:ascii="宋体" w:hAnsi="宋体" w:cs="Helvetica"/>
                <w:b/>
                <w:color w:val="auto"/>
                <w:sz w:val="24"/>
                <w:highlight w:val="none"/>
              </w:rPr>
              <w:t>技术参数及功能指标</w:t>
            </w:r>
          </w:p>
        </w:tc>
      </w:tr>
      <w:tr w14:paraId="4D7E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vAlign w:val="center"/>
          </w:tcPr>
          <w:p w14:paraId="03074C0C">
            <w:pPr>
              <w:widowControl/>
              <w:spacing w:line="400" w:lineRule="exact"/>
              <w:jc w:val="center"/>
              <w:rPr>
                <w:rFonts w:hint="eastAsia" w:ascii="宋体" w:hAnsi="宋体" w:eastAsia="宋体" w:cs="Helvetica"/>
                <w:color w:val="auto"/>
                <w:kern w:val="2"/>
                <w:sz w:val="24"/>
                <w:szCs w:val="24"/>
                <w:highlight w:val="none"/>
                <w:lang w:val="en-US" w:eastAsia="zh-CN" w:bidi="ar-SA"/>
              </w:rPr>
            </w:pPr>
            <w:r>
              <w:rPr>
                <w:rFonts w:hint="eastAsia" w:ascii="宋体" w:hAnsi="宋体" w:cs="Helvetica"/>
                <w:color w:val="auto"/>
                <w:sz w:val="24"/>
                <w:highlight w:val="none"/>
                <w:lang w:val="en-US" w:eastAsia="zh-CN"/>
              </w:rPr>
              <w:t>1</w:t>
            </w:r>
          </w:p>
        </w:tc>
        <w:tc>
          <w:tcPr>
            <w:tcW w:w="1559" w:type="dxa"/>
            <w:shd w:val="clear" w:color="auto" w:fill="auto"/>
            <w:vAlign w:val="center"/>
          </w:tcPr>
          <w:p w14:paraId="3934AB52">
            <w:pPr>
              <w:spacing w:line="40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highlight w:val="none"/>
              </w:rPr>
              <w:t>水下</w:t>
            </w:r>
            <w:r>
              <w:rPr>
                <w:rFonts w:hint="eastAsia" w:ascii="宋体" w:hAnsi="宋体" w:cs="宋体"/>
                <w:color w:val="auto"/>
                <w:sz w:val="24"/>
                <w:highlight w:val="none"/>
                <w:lang w:val="en-US" w:eastAsia="zh-CN"/>
              </w:rPr>
              <w:t>作业平台</w:t>
            </w:r>
          </w:p>
        </w:tc>
        <w:tc>
          <w:tcPr>
            <w:tcW w:w="6210" w:type="dxa"/>
            <w:shd w:val="clear" w:color="auto" w:fill="auto"/>
            <w:vAlign w:val="center"/>
          </w:tcPr>
          <w:p w14:paraId="1350DC59">
            <w:pPr>
              <w:pStyle w:val="4"/>
              <w:numPr>
                <w:ilvl w:val="0"/>
                <w:numId w:val="1"/>
              </w:numPr>
              <w:spacing w:line="420" w:lineRule="exact"/>
              <w:ind w:firstLineChars="0"/>
              <w:rPr>
                <w:rFonts w:hint="eastAsia" w:ascii="宋体" w:hAnsi="宋体"/>
                <w:b/>
                <w:bCs/>
                <w:color w:val="auto"/>
                <w:sz w:val="24"/>
                <w:highlight w:val="none"/>
              </w:rPr>
            </w:pPr>
            <w:r>
              <w:rPr>
                <w:rFonts w:ascii="宋体" w:hAnsi="宋体"/>
                <w:b/>
                <w:bCs/>
                <w:color w:val="auto"/>
                <w:sz w:val="24"/>
                <w:highlight w:val="none"/>
              </w:rPr>
              <w:t>ROV本体</w:t>
            </w:r>
            <w:r>
              <w:rPr>
                <w:rFonts w:hint="eastAsia" w:ascii="宋体" w:hAnsi="宋体"/>
                <w:b/>
                <w:bCs/>
                <w:color w:val="auto"/>
                <w:sz w:val="24"/>
                <w:highlight w:val="none"/>
              </w:rPr>
              <w:t>1台</w:t>
            </w:r>
          </w:p>
          <w:p w14:paraId="2C37332E">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基本参数</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5</w:t>
            </w:r>
            <w:r>
              <w:rPr>
                <w:rFonts w:ascii="宋体" w:hAnsi="宋体"/>
                <w:color w:val="auto"/>
                <w:sz w:val="24"/>
                <w:highlight w:val="none"/>
              </w:rPr>
              <w:t>kg（空气中）</w:t>
            </w:r>
            <w:r>
              <w:rPr>
                <w:rFonts w:hint="eastAsia" w:ascii="宋体" w:hAnsi="宋体"/>
                <w:color w:val="auto"/>
                <w:sz w:val="24"/>
                <w:highlight w:val="none"/>
              </w:rPr>
              <w:t>，耐高压、耐腐蚀，海水淡水中均可使用；</w:t>
            </w:r>
          </w:p>
          <w:p w14:paraId="7346D039">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作业深度：≥350m；</w:t>
            </w:r>
          </w:p>
          <w:p w14:paraId="7FF3786B">
            <w:pPr>
              <w:spacing w:line="420" w:lineRule="exact"/>
              <w:ind w:firstLine="480" w:firstLineChars="200"/>
              <w:rPr>
                <w:rFonts w:hint="eastAsia" w:ascii="宋体" w:hAnsi="宋体"/>
                <w:color w:val="auto"/>
                <w:sz w:val="24"/>
                <w:highlight w:val="none"/>
              </w:rPr>
            </w:pPr>
            <w:r>
              <w:rPr>
                <w:rFonts w:hint="eastAsia" w:ascii="宋体" w:hAnsi="宋体" w:cs="宋体"/>
                <w:color w:val="auto"/>
                <w:sz w:val="24"/>
                <w:highlight w:val="none"/>
              </w:rPr>
              <w:t>▲</w:t>
            </w:r>
            <w:r>
              <w:rPr>
                <w:rFonts w:hint="eastAsia" w:ascii="宋体" w:hAnsi="宋体"/>
                <w:color w:val="auto"/>
                <w:sz w:val="24"/>
                <w:highlight w:val="none"/>
              </w:rPr>
              <w:t>水下动力：采用</w:t>
            </w:r>
            <w:r>
              <w:rPr>
                <w:rFonts w:ascii="宋体" w:hAnsi="宋体"/>
                <w:color w:val="auto"/>
                <w:sz w:val="24"/>
                <w:highlight w:val="none"/>
              </w:rPr>
              <w:t>水下免维护全密封深水充油推进器，推进器数量</w:t>
            </w:r>
            <w:r>
              <w:rPr>
                <w:rFonts w:hint="eastAsia" w:ascii="宋体" w:hAnsi="宋体"/>
                <w:color w:val="auto"/>
                <w:sz w:val="24"/>
                <w:highlight w:val="none"/>
              </w:rPr>
              <w:t>≥</w:t>
            </w:r>
            <w:r>
              <w:rPr>
                <w:rFonts w:ascii="宋体" w:hAnsi="宋体"/>
                <w:color w:val="auto"/>
                <w:sz w:val="24"/>
                <w:highlight w:val="none"/>
              </w:rPr>
              <w:t>8个</w:t>
            </w:r>
            <w:r>
              <w:rPr>
                <w:rFonts w:hint="eastAsia" w:ascii="宋体" w:hAnsi="宋体"/>
                <w:color w:val="auto"/>
                <w:sz w:val="24"/>
                <w:highlight w:val="none"/>
              </w:rPr>
              <w:t>；需</w:t>
            </w:r>
            <w:r>
              <w:rPr>
                <w:rFonts w:ascii="宋体" w:hAnsi="宋体"/>
                <w:color w:val="auto"/>
                <w:sz w:val="24"/>
                <w:highlight w:val="none"/>
              </w:rPr>
              <w:t>采用全矢量布局，</w:t>
            </w:r>
            <w:r>
              <w:rPr>
                <w:rFonts w:hint="eastAsia" w:ascii="宋体" w:hAnsi="宋体"/>
                <w:color w:val="auto"/>
                <w:sz w:val="24"/>
                <w:highlight w:val="none"/>
              </w:rPr>
              <w:t>支持</w:t>
            </w:r>
            <w:r>
              <w:rPr>
                <w:rFonts w:ascii="宋体" w:hAnsi="宋体"/>
                <w:color w:val="auto"/>
                <w:sz w:val="24"/>
                <w:highlight w:val="none"/>
              </w:rPr>
              <w:t>全方位任意姿态任意角度的运动、悬停和作业，支持任意移动方式</w:t>
            </w:r>
            <w:r>
              <w:rPr>
                <w:rFonts w:hint="eastAsia" w:ascii="宋体" w:hAnsi="宋体"/>
                <w:color w:val="auto"/>
                <w:sz w:val="24"/>
                <w:highlight w:val="none"/>
              </w:rPr>
              <w:t>；</w:t>
            </w:r>
          </w:p>
          <w:p w14:paraId="3D405296">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航速：静水航速≥3节；</w:t>
            </w:r>
          </w:p>
          <w:p w14:paraId="2B20F1D4">
            <w:pPr>
              <w:spacing w:line="420" w:lineRule="exact"/>
              <w:ind w:firstLine="480" w:firstLineChars="200"/>
              <w:rPr>
                <w:rFonts w:hint="eastAsia" w:ascii="宋体" w:hAnsi="宋体"/>
                <w:color w:val="auto"/>
                <w:sz w:val="24"/>
                <w:highlight w:val="none"/>
              </w:rPr>
            </w:pPr>
            <w:r>
              <w:rPr>
                <w:rFonts w:hint="eastAsia" w:ascii="宋体" w:hAnsi="宋体" w:cs="宋体"/>
                <w:color w:val="auto"/>
                <w:sz w:val="24"/>
                <w:highlight w:val="none"/>
              </w:rPr>
              <w:t>▲</w:t>
            </w:r>
            <w:r>
              <w:rPr>
                <w:rFonts w:hint="eastAsia" w:ascii="宋体" w:hAnsi="宋体"/>
                <w:color w:val="auto"/>
                <w:sz w:val="24"/>
                <w:highlight w:val="none"/>
              </w:rPr>
              <w:t>搭载传感器：需包含多普勒计程仪、9轴姿态传感器、惯性测量单元、压力传感器、方向传感器、温/湿度传感器、漏水监测传感器、深度传感器；</w:t>
            </w:r>
          </w:p>
          <w:p w14:paraId="0B1E5DE3">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支持拓展：多波束声呐、水声定位、GPS 定位、单自由度机械手、两功能机械臂、多参数水质传感器、多普勒计程仪、超短基线定位系统等；</w:t>
            </w:r>
          </w:p>
          <w:p w14:paraId="76A4131F">
            <w:pPr>
              <w:pStyle w:val="4"/>
              <w:numPr>
                <w:ilvl w:val="0"/>
                <w:numId w:val="1"/>
              </w:numPr>
              <w:spacing w:line="420" w:lineRule="exact"/>
              <w:ind w:firstLineChars="0"/>
              <w:rPr>
                <w:rFonts w:hint="eastAsia" w:ascii="宋体" w:hAnsi="宋体"/>
                <w:b/>
                <w:bCs/>
                <w:color w:val="auto"/>
                <w:sz w:val="24"/>
                <w:highlight w:val="none"/>
              </w:rPr>
            </w:pPr>
            <w:r>
              <w:rPr>
                <w:rFonts w:hint="eastAsia" w:ascii="宋体" w:hAnsi="宋体"/>
                <w:b/>
                <w:bCs/>
                <w:color w:val="auto"/>
                <w:sz w:val="24"/>
                <w:highlight w:val="none"/>
              </w:rPr>
              <w:t>收放线器1个</w:t>
            </w:r>
          </w:p>
          <w:p w14:paraId="1BB4E56D">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水下线缆：专用零浮力缆线，长度≥300m，破断力≥200kg；</w:t>
            </w:r>
          </w:p>
          <w:p w14:paraId="190000F2">
            <w:pPr>
              <w:spacing w:line="420" w:lineRule="exact"/>
              <w:ind w:firstLine="480" w:firstLineChars="200"/>
              <w:rPr>
                <w:rFonts w:hint="eastAsia" w:ascii="宋体" w:hAnsi="宋体"/>
                <w:color w:val="auto"/>
                <w:sz w:val="24"/>
                <w:highlight w:val="none"/>
              </w:rPr>
            </w:pPr>
            <w:r>
              <w:rPr>
                <w:rFonts w:hint="eastAsia" w:ascii="宋体" w:hAnsi="宋体" w:cs="宋体"/>
                <w:color w:val="auto"/>
                <w:sz w:val="24"/>
                <w:highlight w:val="none"/>
              </w:rPr>
              <w:t>▲</w:t>
            </w:r>
            <w:r>
              <w:rPr>
                <w:rFonts w:hint="eastAsia" w:ascii="宋体" w:hAnsi="宋体"/>
                <w:color w:val="auto"/>
                <w:sz w:val="24"/>
                <w:highlight w:val="none"/>
              </w:rPr>
              <w:t>功能：紧急情况支持一键断电；</w:t>
            </w:r>
          </w:p>
          <w:p w14:paraId="7FB3B948">
            <w:pPr>
              <w:spacing w:line="420" w:lineRule="exact"/>
              <w:ind w:firstLine="480" w:firstLineChars="200"/>
              <w:rPr>
                <w:rFonts w:hint="eastAsia" w:ascii="宋体" w:hAnsi="宋体"/>
                <w:color w:val="auto"/>
                <w:sz w:val="24"/>
                <w:highlight w:val="none"/>
              </w:rPr>
            </w:pPr>
            <w:r>
              <w:rPr>
                <w:rFonts w:hint="eastAsia" w:ascii="宋体" w:hAnsi="宋体" w:cs="宋体"/>
                <w:color w:val="auto"/>
                <w:sz w:val="24"/>
                <w:highlight w:val="none"/>
              </w:rPr>
              <w:t>▲</w:t>
            </w:r>
            <w:r>
              <w:rPr>
                <w:rFonts w:hint="eastAsia" w:ascii="宋体" w:hAnsi="宋体"/>
                <w:color w:val="auto"/>
                <w:sz w:val="24"/>
                <w:highlight w:val="none"/>
              </w:rPr>
              <w:t>供电方式：收放线器系统输入电压 220-240vac，岸上功率3500w。</w:t>
            </w:r>
          </w:p>
          <w:p w14:paraId="011A0527">
            <w:pPr>
              <w:pStyle w:val="4"/>
              <w:numPr>
                <w:ilvl w:val="0"/>
                <w:numId w:val="1"/>
              </w:numPr>
              <w:spacing w:line="420" w:lineRule="exact"/>
              <w:ind w:firstLineChars="0"/>
              <w:rPr>
                <w:rFonts w:hint="eastAsia" w:ascii="宋体" w:hAnsi="宋体"/>
                <w:b/>
                <w:bCs/>
                <w:color w:val="auto"/>
                <w:sz w:val="24"/>
                <w:highlight w:val="none"/>
              </w:rPr>
            </w:pPr>
            <w:r>
              <w:rPr>
                <w:rFonts w:hint="eastAsia" w:ascii="宋体" w:hAnsi="宋体"/>
                <w:b/>
                <w:bCs/>
                <w:color w:val="auto"/>
                <w:sz w:val="24"/>
                <w:highlight w:val="none"/>
              </w:rPr>
              <w:t>光学载荷1套</w:t>
            </w:r>
          </w:p>
          <w:p w14:paraId="7F0799A2">
            <w:pPr>
              <w:spacing w:line="420" w:lineRule="exact"/>
              <w:ind w:firstLine="480" w:firstLineChars="200"/>
              <w:rPr>
                <w:rFonts w:hint="eastAsia" w:ascii="宋体" w:hAnsi="宋体"/>
                <w:color w:val="auto"/>
                <w:sz w:val="24"/>
                <w:highlight w:val="none"/>
              </w:rPr>
            </w:pPr>
            <w:r>
              <w:rPr>
                <w:rFonts w:hint="eastAsia" w:ascii="宋体" w:hAnsi="宋体" w:cs="宋体"/>
                <w:color w:val="auto"/>
                <w:sz w:val="24"/>
                <w:highlight w:val="none"/>
              </w:rPr>
              <w:t>▲</w:t>
            </w:r>
            <w:r>
              <w:rPr>
                <w:rFonts w:hint="eastAsia" w:ascii="宋体" w:hAnsi="宋体"/>
                <w:color w:val="auto"/>
                <w:sz w:val="24"/>
                <w:highlight w:val="none"/>
              </w:rPr>
              <w:t>前视外置云台摄像机：不小于200W像素，支持1080P，视角≥125°，俯仰云台角度≥±45°；</w:t>
            </w:r>
          </w:p>
          <w:p w14:paraId="58782424">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补光灯：≥2个，单台亮度≥5000流明，亮度支持多级调节；</w:t>
            </w:r>
          </w:p>
          <w:p w14:paraId="7E049220">
            <w:pPr>
              <w:spacing w:line="420" w:lineRule="exact"/>
              <w:ind w:firstLine="480" w:firstLineChars="200"/>
              <w:rPr>
                <w:rFonts w:hint="eastAsia" w:ascii="宋体" w:hAnsi="宋体"/>
                <w:color w:val="auto"/>
                <w:sz w:val="24"/>
                <w:highlight w:val="none"/>
              </w:rPr>
            </w:pPr>
            <w:r>
              <w:rPr>
                <w:rFonts w:hint="eastAsia" w:ascii="宋体" w:hAnsi="宋体" w:cs="宋体"/>
                <w:color w:val="auto"/>
                <w:sz w:val="24"/>
                <w:highlight w:val="none"/>
              </w:rPr>
              <w:t>▲</w:t>
            </w:r>
            <w:r>
              <w:rPr>
                <w:rFonts w:ascii="宋体" w:hAnsi="宋体"/>
                <w:color w:val="auto"/>
                <w:sz w:val="24"/>
                <w:highlight w:val="none"/>
              </w:rPr>
              <w:t>摄像系统图像算法：</w:t>
            </w:r>
            <w:r>
              <w:rPr>
                <w:rFonts w:hint="eastAsia" w:ascii="宋体" w:hAnsi="宋体"/>
                <w:color w:val="auto"/>
                <w:sz w:val="24"/>
                <w:highlight w:val="none"/>
              </w:rPr>
              <w:t>需具备</w:t>
            </w:r>
            <w:r>
              <w:rPr>
                <w:rFonts w:ascii="宋体" w:hAnsi="宋体"/>
                <w:color w:val="auto"/>
                <w:sz w:val="24"/>
                <w:highlight w:val="none"/>
              </w:rPr>
              <w:t>增强清晰算法、水下自动透雾、浅水自适应、浑水成像、绿光抑制功能</w:t>
            </w:r>
            <w:r>
              <w:rPr>
                <w:rFonts w:hint="eastAsia" w:ascii="宋体" w:hAnsi="宋体"/>
                <w:color w:val="auto"/>
                <w:sz w:val="24"/>
                <w:highlight w:val="none"/>
              </w:rPr>
              <w:t>；</w:t>
            </w:r>
          </w:p>
          <w:p w14:paraId="40E2CEA5">
            <w:pPr>
              <w:pStyle w:val="4"/>
              <w:numPr>
                <w:ilvl w:val="0"/>
                <w:numId w:val="1"/>
              </w:numPr>
              <w:spacing w:line="420" w:lineRule="exact"/>
              <w:ind w:firstLineChars="0"/>
              <w:rPr>
                <w:rFonts w:hint="eastAsia" w:ascii="宋体" w:hAnsi="宋体"/>
                <w:b/>
                <w:bCs/>
                <w:color w:val="auto"/>
                <w:sz w:val="24"/>
                <w:highlight w:val="none"/>
              </w:rPr>
            </w:pPr>
            <w:r>
              <w:rPr>
                <w:rFonts w:hint="eastAsia" w:ascii="宋体" w:hAnsi="宋体"/>
                <w:b/>
                <w:bCs/>
                <w:color w:val="auto"/>
                <w:sz w:val="24"/>
                <w:highlight w:val="none"/>
              </w:rPr>
              <w:t>岸基控制站1个</w:t>
            </w:r>
          </w:p>
          <w:p w14:paraId="7342F274">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重量：≤25kg；</w:t>
            </w:r>
          </w:p>
          <w:p w14:paraId="08C4FED4">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主机配置：不低于I7，16G内存，1T固态硬盘，WIN10 操作系统；</w:t>
            </w:r>
          </w:p>
          <w:p w14:paraId="0C74DE9E">
            <w:pPr>
              <w:spacing w:line="420" w:lineRule="exact"/>
              <w:ind w:firstLine="480" w:firstLineChars="200"/>
              <w:rPr>
                <w:rFonts w:hint="eastAsia" w:ascii="宋体" w:hAnsi="宋体"/>
                <w:color w:val="auto"/>
                <w:sz w:val="24"/>
                <w:highlight w:val="none"/>
              </w:rPr>
            </w:pPr>
            <w:r>
              <w:rPr>
                <w:rFonts w:hint="eastAsia" w:ascii="宋体" w:hAnsi="宋体" w:cs="宋体"/>
                <w:color w:val="auto"/>
                <w:sz w:val="24"/>
                <w:highlight w:val="none"/>
              </w:rPr>
              <w:t>▲</w:t>
            </w:r>
            <w:r>
              <w:rPr>
                <w:rFonts w:hint="eastAsia" w:ascii="宋体" w:hAnsi="宋体"/>
                <w:color w:val="auto"/>
                <w:sz w:val="24"/>
                <w:highlight w:val="none"/>
              </w:rPr>
              <w:t>显示器：不小于18寸的高亮LED 3屏折叠屏，可同时显示/隐藏日期、航向、姿态、俯仰角、温度、深度、灯光亮度、云台角度、动力等级、运行时间、控制模式等信息；支持一键开启/关闭录像；</w:t>
            </w:r>
          </w:p>
          <w:p w14:paraId="61F4D33B">
            <w:pPr>
              <w:spacing w:line="420" w:lineRule="exact"/>
              <w:ind w:firstLine="480" w:firstLineChars="200"/>
              <w:rPr>
                <w:rFonts w:hint="eastAsia" w:ascii="宋体" w:hAnsi="宋体"/>
                <w:color w:val="auto"/>
                <w:sz w:val="24"/>
                <w:highlight w:val="none"/>
              </w:rPr>
            </w:pPr>
            <w:r>
              <w:rPr>
                <w:rFonts w:hint="eastAsia" w:ascii="宋体" w:hAnsi="宋体" w:cs="宋体"/>
                <w:color w:val="auto"/>
                <w:sz w:val="24"/>
                <w:highlight w:val="none"/>
              </w:rPr>
              <w:t>▲</w:t>
            </w:r>
            <w:r>
              <w:rPr>
                <w:rFonts w:ascii="宋体" w:hAnsi="宋体"/>
                <w:color w:val="auto"/>
                <w:sz w:val="24"/>
                <w:highlight w:val="none"/>
              </w:rPr>
              <w:t>内置电池：充电电压24V，支持边充边用</w:t>
            </w:r>
          </w:p>
          <w:p w14:paraId="12C06EB9">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面板接口：</w:t>
            </w:r>
            <w:r>
              <w:rPr>
                <w:rFonts w:ascii="宋体" w:hAnsi="宋体"/>
                <w:color w:val="auto"/>
                <w:sz w:val="24"/>
                <w:highlight w:val="none"/>
              </w:rPr>
              <w:t>供电接口1个，主线缆 (ROV)接口1个，</w:t>
            </w:r>
            <w:r>
              <w:rPr>
                <w:rFonts w:hint="eastAsia" w:ascii="宋体" w:hAnsi="宋体"/>
                <w:color w:val="auto"/>
                <w:sz w:val="24"/>
                <w:highlight w:val="none"/>
              </w:rPr>
              <w:t>预留RJ45对外输出接口1个，USB 接口1个；</w:t>
            </w:r>
          </w:p>
          <w:p w14:paraId="4C146268">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操作键盘：工业级全金属防水键盘，集成鼠标触控板；</w:t>
            </w:r>
          </w:p>
          <w:p w14:paraId="693EAE6E">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安全性：带有空气开关和漏电保护器、接地端子，用于野外作业时与发电机可靠接地；</w:t>
            </w:r>
          </w:p>
          <w:p w14:paraId="1D67A6C0">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遥控手柄：工业级带有防水按键，支持有线和无线连接，可实现机器人的运动、模式控制，灯光亮度调节，云台俯仰角度调节；</w:t>
            </w:r>
          </w:p>
          <w:p w14:paraId="433B33BB">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箱体：防水机箱设计。</w:t>
            </w:r>
          </w:p>
          <w:p w14:paraId="649E3D06">
            <w:pPr>
              <w:pStyle w:val="4"/>
              <w:numPr>
                <w:ilvl w:val="0"/>
                <w:numId w:val="1"/>
              </w:numPr>
              <w:spacing w:line="420" w:lineRule="exact"/>
              <w:ind w:firstLineChars="0"/>
              <w:rPr>
                <w:rFonts w:hint="default" w:ascii="宋体" w:hAnsi="宋体"/>
                <w:color w:val="auto"/>
                <w:sz w:val="24"/>
                <w:highlight w:val="none"/>
                <w:lang w:val="en-US" w:eastAsia="zh-CN"/>
              </w:rPr>
            </w:pPr>
            <w:r>
              <w:rPr>
                <w:rFonts w:hint="eastAsia" w:ascii="宋体" w:hAnsi="宋体"/>
                <w:b/>
                <w:bCs/>
                <w:color w:val="auto"/>
                <w:sz w:val="24"/>
                <w:highlight w:val="none"/>
                <w:lang w:val="en-US" w:eastAsia="zh-CN"/>
              </w:rPr>
              <w:t>户外移动电源</w:t>
            </w:r>
            <w:r>
              <w:rPr>
                <w:rFonts w:hint="eastAsia" w:ascii="宋体" w:hAnsi="宋体"/>
                <w:b/>
                <w:bCs/>
                <w:color w:val="auto"/>
                <w:sz w:val="24"/>
                <w:highlight w:val="none"/>
              </w:rPr>
              <w:t>1台</w:t>
            </w:r>
          </w:p>
          <w:p w14:paraId="78F84F26">
            <w:pPr>
              <w:pStyle w:val="4"/>
              <w:widowControl w:val="0"/>
              <w:numPr>
                <w:ilvl w:val="0"/>
                <w:numId w:val="0"/>
              </w:numPr>
              <w:spacing w:line="420" w:lineRule="exact"/>
              <w:ind w:firstLine="480" w:firstLineChars="200"/>
              <w:jc w:val="both"/>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▲电芯类型：采用磷酸铁锂电芯；额定容量≥1000Wh</w:t>
            </w:r>
            <w:r>
              <w:rPr>
                <w:rFonts w:hint="eastAsia" w:ascii="宋体" w:hAnsi="宋体" w:eastAsia="宋体" w:cs="宋体"/>
                <w:color w:val="auto"/>
                <w:sz w:val="24"/>
                <w:szCs w:val="24"/>
                <w:highlight w:val="none"/>
                <w:lang w:eastAsia="zh-CN"/>
              </w:rPr>
              <w:t>；</w:t>
            </w:r>
          </w:p>
          <w:p w14:paraId="4BF6F6BC">
            <w:pPr>
              <w:pStyle w:val="4"/>
              <w:widowControl w:val="0"/>
              <w:numPr>
                <w:ilvl w:val="0"/>
                <w:numId w:val="0"/>
              </w:numPr>
              <w:spacing w:line="4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▲交流输出：AC 220V/50Hz纯正弦波，额定输出功率≥1000W，峰值功率≥2000W；标配USB-A、USB-C</w:t>
            </w:r>
            <w:r>
              <w:rPr>
                <w:rFonts w:hint="eastAsia" w:ascii="宋体" w:hAnsi="宋体" w:eastAsia="宋体" w:cs="宋体"/>
                <w:color w:val="auto"/>
                <w:sz w:val="24"/>
                <w:szCs w:val="24"/>
                <w:highlight w:val="none"/>
                <w:lang w:val="en-US" w:eastAsia="zh-CN"/>
              </w:rPr>
              <w:t>等</w:t>
            </w:r>
            <w:r>
              <w:rPr>
                <w:rFonts w:ascii="宋体" w:hAnsi="宋体" w:eastAsia="宋体" w:cs="宋体"/>
                <w:color w:val="auto"/>
                <w:sz w:val="24"/>
                <w:szCs w:val="24"/>
                <w:highlight w:val="none"/>
              </w:rPr>
              <w:t xml:space="preserve">直流接口。 </w:t>
            </w:r>
          </w:p>
          <w:p w14:paraId="1DF9D19F">
            <w:pPr>
              <w:pStyle w:val="4"/>
              <w:widowControl w:val="0"/>
              <w:numPr>
                <w:ilvl w:val="0"/>
                <w:numId w:val="0"/>
              </w:numPr>
              <w:spacing w:line="4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环境适应性：工作温度-20℃~+55℃，满载连续工作4小时功能正常；防护等级≥IPX5。 </w:t>
            </w:r>
          </w:p>
          <w:p w14:paraId="00F92CD8">
            <w:pPr>
              <w:pStyle w:val="4"/>
              <w:widowControl w:val="0"/>
              <w:numPr>
                <w:ilvl w:val="0"/>
                <w:numId w:val="0"/>
              </w:numPr>
              <w:spacing w:line="4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安全配置：集成BMS电池管理系统，具备过充、过放、过压、欠压、过流、过载、短路、高温、低温九重安全保护；外壳阻燃，电芯满足针刺、挤压安全要求。 </w:t>
            </w:r>
          </w:p>
          <w:p w14:paraId="23B29D69">
            <w:pPr>
              <w:pStyle w:val="4"/>
              <w:widowControl w:val="0"/>
              <w:numPr>
                <w:ilvl w:val="0"/>
                <w:numId w:val="0"/>
              </w:numPr>
              <w:spacing w:line="4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功能配置：带高清数显屏，实时展示电量、功率、温度；配备便携提手、原装充电适配器及线缆。 </w:t>
            </w:r>
          </w:p>
          <w:p w14:paraId="4E7FED44">
            <w:pPr>
              <w:pStyle w:val="4"/>
              <w:widowControl w:val="0"/>
              <w:numPr>
                <w:ilvl w:val="0"/>
                <w:numId w:val="0"/>
              </w:numPr>
              <w:spacing w:line="420" w:lineRule="exact"/>
              <w:ind w:firstLine="480" w:firstLineChars="200"/>
              <w:jc w:val="both"/>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▲认证要求：产品具备有效CCC强制性产品认证</w:t>
            </w:r>
          </w:p>
        </w:tc>
      </w:tr>
    </w:tbl>
    <w:p w14:paraId="37C27A2F">
      <w:pPr>
        <w:spacing w:line="300" w:lineRule="auto"/>
        <w:ind w:firstLine="420" w:firstLineChars="200"/>
        <w:rPr>
          <w:rFonts w:ascii="宋体" w:hAnsi="宋体"/>
          <w:color w:val="auto"/>
          <w:szCs w:val="21"/>
          <w:highlight w:val="none"/>
        </w:rPr>
      </w:pPr>
    </w:p>
    <w:p w14:paraId="4C930FE7">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rPr>
        <w:t>四、商务要求</w:t>
      </w:r>
    </w:p>
    <w:tbl>
      <w:tblPr>
        <w:tblStyle w:val="2"/>
        <w:tblpPr w:leftFromText="180" w:rightFromText="180" w:vertAnchor="text" w:horzAnchor="page" w:tblpX="2277" w:tblpY="166"/>
        <w:tblOverlap w:val="never"/>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69D71A4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0A8A94E">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质保期</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67DEA1A">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国家有统一规定的执行国家规定，没有规定的原则上不少于</w:t>
            </w:r>
            <w:r>
              <w:rPr>
                <w:rFonts w:hint="eastAsia" w:ascii="宋体" w:hAnsi="宋体"/>
                <w:color w:val="auto"/>
                <w:szCs w:val="21"/>
                <w:highlight w:val="none"/>
                <w:shd w:val="clear" w:color="auto" w:fill="FFFFFF"/>
                <w:lang w:val="en-US" w:eastAsia="zh-CN"/>
              </w:rPr>
              <w:t>36</w:t>
            </w:r>
            <w:r>
              <w:rPr>
                <w:rFonts w:ascii="宋体" w:hAnsi="宋体"/>
                <w:color w:val="auto"/>
                <w:szCs w:val="21"/>
                <w:highlight w:val="none"/>
                <w:shd w:val="clear" w:color="auto" w:fill="FFFFFF"/>
              </w:rPr>
              <w:t>个月</w:t>
            </w:r>
            <w:r>
              <w:rPr>
                <w:rFonts w:hint="eastAsia" w:ascii="宋体" w:hAnsi="宋体"/>
                <w:color w:val="auto"/>
                <w:szCs w:val="21"/>
                <w:highlight w:val="none"/>
                <w:shd w:val="clear" w:color="auto" w:fill="FFFFFF"/>
              </w:rPr>
              <w:t>。</w:t>
            </w:r>
          </w:p>
        </w:tc>
      </w:tr>
      <w:tr w14:paraId="1E2EE05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6BB08FE9">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972628C">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含安装、调试、维修、保养、人员培训等。</w:t>
            </w:r>
          </w:p>
          <w:p w14:paraId="2CA15091">
            <w:pPr>
              <w:shd w:val="solid" w:color="FFFFFF" w:fill="auto"/>
              <w:autoSpaceDN w:val="0"/>
              <w:snapToGrid w:val="0"/>
              <w:spacing w:line="360" w:lineRule="auto"/>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培训仅限于基本操作培训。</w:t>
            </w:r>
          </w:p>
        </w:tc>
      </w:tr>
      <w:tr w14:paraId="2780368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05D2BCA">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6E97839">
            <w:pPr>
              <w:shd w:val="solid" w:color="FFFFFF" w:fill="auto"/>
              <w:autoSpaceDN w:val="0"/>
              <w:snapToGrid w:val="0"/>
              <w:spacing w:after="100" w:afterAutospacing="1"/>
              <w:jc w:val="left"/>
              <w:rPr>
                <w:rFonts w:ascii="宋体" w:hAnsi="宋体"/>
                <w:color w:val="auto"/>
                <w:szCs w:val="21"/>
                <w:highlight w:val="none"/>
                <w:shd w:val="clear" w:color="auto" w:fill="FFFFFF"/>
              </w:rPr>
            </w:pPr>
            <w:r>
              <w:rPr>
                <w:rFonts w:hint="eastAsia" w:ascii="宋体" w:hAnsi="宋体" w:cs="宋体"/>
                <w:color w:val="auto"/>
                <w:highlight w:val="none"/>
              </w:rPr>
              <w:t>合同签订生效</w:t>
            </w:r>
            <w:r>
              <w:rPr>
                <w:rFonts w:hint="eastAsia" w:ascii="宋体" w:hAnsi="宋体" w:cs="宋体"/>
                <w:color w:val="auto"/>
                <w:szCs w:val="21"/>
                <w:highlight w:val="none"/>
              </w:rPr>
              <w:t xml:space="preserve">后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60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日历</w:t>
            </w:r>
            <w:r>
              <w:rPr>
                <w:rFonts w:hint="eastAsia" w:ascii="宋体" w:hAnsi="宋体" w:cs="宋体"/>
                <w:color w:val="auto"/>
                <w:szCs w:val="21"/>
                <w:highlight w:val="none"/>
              </w:rPr>
              <w:t>天内。</w:t>
            </w:r>
            <w:r>
              <w:rPr>
                <w:rFonts w:hint="eastAsia" w:ascii="宋体" w:hAnsi="宋体" w:cs="宋体"/>
                <w:color w:val="auto"/>
                <w:highlight w:val="none"/>
              </w:rPr>
              <w:t>逾期提供货物，每天按合同款总额2‰的额度支付延期交货违约金（具体见第五章合同条款）。</w:t>
            </w:r>
          </w:p>
        </w:tc>
      </w:tr>
      <w:tr w14:paraId="6F3F125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BD5BB20">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61ED640">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见</w:t>
            </w:r>
            <w:r>
              <w:rPr>
                <w:rFonts w:hint="eastAsia"/>
                <w:color w:val="auto"/>
                <w:szCs w:val="21"/>
                <w:highlight w:val="none"/>
              </w:rPr>
              <w:t>第五章合同条款</w:t>
            </w:r>
          </w:p>
        </w:tc>
      </w:tr>
      <w:tr w14:paraId="5397E77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53D22E6">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售后服务保障或维修响应时间要求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CEE2306">
            <w:pPr>
              <w:shd w:val="solid" w:color="FFFFFF" w:fill="auto"/>
              <w:autoSpaceDN w:val="0"/>
              <w:snapToGrid w:val="0"/>
              <w:spacing w:line="360" w:lineRule="auto"/>
              <w:jc w:val="left"/>
              <w:rPr>
                <w:rFonts w:ascii="宋体" w:hAnsi="宋体"/>
                <w:color w:val="auto"/>
                <w:szCs w:val="21"/>
                <w:highlight w:val="none"/>
                <w:shd w:val="clear" w:color="auto" w:fill="FFFFFF"/>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小时内响应甲方的维修要求，</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小时内解决，如超过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小时仍不能解决，由乙方在</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小时内提供性能不低于故障产品的备用产品。</w:t>
            </w:r>
          </w:p>
        </w:tc>
      </w:tr>
    </w:tbl>
    <w:p w14:paraId="587F064B">
      <w:pPr>
        <w:spacing w:line="300" w:lineRule="auto"/>
        <w:ind w:firstLine="480" w:firstLineChars="200"/>
        <w:rPr>
          <w:rFonts w:ascii="宋体" w:hAnsi="宋体"/>
          <w:color w:val="auto"/>
          <w:sz w:val="24"/>
          <w:highlight w:val="none"/>
        </w:rPr>
      </w:pPr>
    </w:p>
    <w:p w14:paraId="12A81740">
      <w:pPr>
        <w:spacing w:line="300" w:lineRule="auto"/>
        <w:ind w:firstLine="482" w:firstLineChars="200"/>
        <w:rPr>
          <w:rFonts w:ascii="宋体" w:hAnsi="宋体"/>
          <w:b/>
          <w:color w:val="auto"/>
          <w:sz w:val="24"/>
          <w:highlight w:val="none"/>
        </w:rPr>
      </w:pPr>
      <w:r>
        <w:rPr>
          <w:rFonts w:hint="eastAsia" w:ascii="宋体" w:hAnsi="宋体"/>
          <w:b/>
          <w:color w:val="auto"/>
          <w:sz w:val="24"/>
          <w:highlight w:val="none"/>
        </w:rPr>
        <w:t>五、履约验收要求</w:t>
      </w:r>
    </w:p>
    <w:p w14:paraId="7177B380">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中标人严格按约定时间供货，提供的货物必须符合我国最新颁布的与之相关的技术规范与标准，成品货物的到货验收包括但不限于：品名、品牌、尺码、数量、质量、铭牌、产品外观及外包装完整无破损。</w:t>
      </w:r>
    </w:p>
    <w:p w14:paraId="49D9912B">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4D1C94DD">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中标人在交货前应对所有货物初步检查，并列出清单，作为采购人收货验收和使用的技术条件依据，清单应随货物一起交付采购人。</w:t>
      </w:r>
    </w:p>
    <w:p w14:paraId="574FBC1D">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352F99A3">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21EFD6B0">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7B4E1A3E">
      <w:pPr>
        <w:spacing w:line="300" w:lineRule="auto"/>
        <w:ind w:firstLine="482" w:firstLineChars="200"/>
        <w:rPr>
          <w:rFonts w:ascii="宋体" w:hAnsi="宋体"/>
          <w:b/>
          <w:color w:val="auto"/>
          <w:sz w:val="24"/>
          <w:highlight w:val="none"/>
        </w:rPr>
      </w:pPr>
      <w:r>
        <w:rPr>
          <w:rFonts w:hint="eastAsia" w:ascii="宋体" w:hAnsi="宋体"/>
          <w:b/>
          <w:color w:val="auto"/>
          <w:sz w:val="24"/>
          <w:highlight w:val="none"/>
        </w:rPr>
        <w:t>六、其它要求</w:t>
      </w:r>
    </w:p>
    <w:p w14:paraId="7EB9DA38">
      <w:pPr>
        <w:spacing w:line="300" w:lineRule="auto"/>
        <w:ind w:firstLine="480" w:firstLineChars="200"/>
        <w:rPr>
          <w:rFonts w:ascii="宋体" w:hAnsi="宋体" w:cs="MS Shell Dlg"/>
          <w:color w:val="auto"/>
          <w:sz w:val="24"/>
          <w:highlight w:val="none"/>
        </w:rPr>
      </w:pPr>
      <w:r>
        <w:rPr>
          <w:rFonts w:hint="eastAsia" w:ascii="宋体" w:hAnsi="宋体" w:cs="MS Shell Dlg"/>
          <w:color w:val="auto"/>
          <w:sz w:val="24"/>
          <w:highlight w:val="none"/>
        </w:rPr>
        <w:t>(1)因不同投标人的设备设计原理未必完全相同，投标人可视自身情况配置设备及附件，但应能充分满足招标人的功能及参数要求。</w:t>
      </w:r>
    </w:p>
    <w:p w14:paraId="12A1E06A">
      <w:pPr>
        <w:spacing w:line="300" w:lineRule="auto"/>
        <w:ind w:firstLine="480" w:firstLineChars="200"/>
        <w:rPr>
          <w:rFonts w:ascii="宋体" w:hAnsi="宋体" w:cs="MS Shell Dlg"/>
          <w:color w:val="auto"/>
          <w:sz w:val="24"/>
          <w:highlight w:val="none"/>
        </w:rPr>
      </w:pPr>
      <w:r>
        <w:rPr>
          <w:rFonts w:hint="eastAsia" w:ascii="宋体" w:hAnsi="宋体" w:cs="MS Shell Dlg"/>
          <w:color w:val="auto"/>
          <w:sz w:val="24"/>
          <w:highlight w:val="none"/>
        </w:rPr>
        <w:t>(2)投标人应保证提供满足招标人正常使用的必要配置及附件而不再需要花费任何额外的费用，即使采购方在制定招标书时要求不够具体。安装后就能正常工作。</w:t>
      </w:r>
    </w:p>
    <w:p w14:paraId="1EC00257">
      <w:pPr>
        <w:spacing w:line="300" w:lineRule="auto"/>
        <w:ind w:firstLine="480" w:firstLineChars="200"/>
        <w:rPr>
          <w:rFonts w:ascii="宋体" w:hAnsi="宋体" w:cs="MS Shell Dlg"/>
          <w:color w:val="auto"/>
          <w:sz w:val="24"/>
          <w:highlight w:val="none"/>
        </w:rPr>
      </w:pPr>
      <w:r>
        <w:rPr>
          <w:rFonts w:hint="eastAsia" w:ascii="宋体" w:hAnsi="宋体" w:cs="MS Shell Dlg"/>
          <w:color w:val="auto"/>
          <w:sz w:val="24"/>
          <w:highlight w:val="none"/>
        </w:rPr>
        <w:t>(3)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w:t>
      </w:r>
    </w:p>
    <w:p w14:paraId="7C7AEB2A">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3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5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147533"/>
    <w:multiLevelType w:val="multilevel"/>
    <w:tmpl w:val="4B147533"/>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7A2644"/>
    <w:rsid w:val="030E6BBE"/>
    <w:rsid w:val="09101BBC"/>
    <w:rsid w:val="091F0E9B"/>
    <w:rsid w:val="09623170"/>
    <w:rsid w:val="17092182"/>
    <w:rsid w:val="1C7B16F4"/>
    <w:rsid w:val="1D6F7A38"/>
    <w:rsid w:val="22463CF8"/>
    <w:rsid w:val="270D3B54"/>
    <w:rsid w:val="28EF7EF7"/>
    <w:rsid w:val="2B0679B7"/>
    <w:rsid w:val="2E5A6C8B"/>
    <w:rsid w:val="31F83B0E"/>
    <w:rsid w:val="33722611"/>
    <w:rsid w:val="38742C06"/>
    <w:rsid w:val="3A296990"/>
    <w:rsid w:val="470615DE"/>
    <w:rsid w:val="4CFB377C"/>
    <w:rsid w:val="52766386"/>
    <w:rsid w:val="607A2644"/>
    <w:rsid w:val="607C3374"/>
    <w:rsid w:val="69683078"/>
    <w:rsid w:val="6E0C6685"/>
    <w:rsid w:val="7B4D5003"/>
    <w:rsid w:val="7DB1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2026-06-15T01:50:00Z</dcterms:created>
  <dc:creator>WD..</dc:creator>
  <cp:lastModifiedBy>WD..</cp:lastModifiedBy>
  <dcterms:modified xsi:type="dcterms:W3CDTF">2026-06-15T01:51:25Z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9F4C3FE55D134D0E8C9AFDD50556A216_11</vt:lpwstr>
  </property>
  <property fmtid="{D5CDD505-2E9C-101B-9397-08002B2CF9AE}" pid="4" name="KSOTemplateDocerSaveRecord">
    <vt:lpwstr>eyJoZGlkIjoiZWNkMTE4ZjYyNTk1NDdlYjc5MWM1MjYwM2E5YjgyM2YiLCJ1c2VySWQiOiI0MzIxMTkxMDIifQ==</vt:lpwstr>
  </property>
</Properties>
</file>