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BC45C">
      <w:pPr>
        <w:widowControl/>
        <w:jc w:val="center"/>
        <w:rPr>
          <w:b/>
          <w:sz w:val="32"/>
          <w:szCs w:val="32"/>
        </w:rPr>
      </w:pPr>
      <w:r>
        <w:rPr>
          <w:rFonts w:hint="eastAsia"/>
          <w:b/>
          <w:sz w:val="32"/>
          <w:szCs w:val="32"/>
        </w:rPr>
        <w:t>第四章 项目需求说明</w:t>
      </w:r>
    </w:p>
    <w:p w14:paraId="13AA6AC4">
      <w:pPr>
        <w:spacing w:line="300" w:lineRule="auto"/>
        <w:ind w:firstLine="480" w:firstLineChars="200"/>
        <w:rPr>
          <w:rFonts w:ascii="宋体" w:hAnsi="宋体"/>
          <w:color w:val="000000"/>
          <w:szCs w:val="21"/>
        </w:rPr>
      </w:pPr>
      <w:r>
        <w:rPr>
          <w:rFonts w:hint="eastAsia" w:ascii="宋体" w:hAnsi="宋体"/>
          <w:color w:val="000000"/>
          <w:sz w:val="24"/>
        </w:rPr>
        <w:t>一、项目背景（或概况）：为贯彻连自然资发【2021】461号文件关于加快解决市区不动产登记历史遗留问题的通知的精神，学校目前正在进行校园消防审验历史遗留问题整改工作，实现学校固定资产安全健康管理，拟对校内53栋完成“双评估”（消防安全评估、建筑安全评估）的建筑物开展规划核实、房屋测绘、地籍调查及不动产权证登记所需材料报审工作，总建筑面积15790</w:t>
      </w:r>
      <w:r>
        <w:rPr>
          <w:rFonts w:ascii="宋体" w:hAnsi="宋体"/>
          <w:color w:val="000000"/>
          <w:sz w:val="24"/>
        </w:rPr>
        <w:t>0</w:t>
      </w:r>
      <w:r>
        <w:rPr>
          <w:rFonts w:hint="eastAsia" w:ascii="宋体" w:hAnsi="宋体"/>
          <w:color w:val="000000"/>
          <w:sz w:val="24"/>
        </w:rPr>
        <w:t>平方米，涉及三个校区（苍梧校区、通灌校区和宋跳校区）。</w:t>
      </w:r>
    </w:p>
    <w:p w14:paraId="7806E3EA">
      <w:pPr>
        <w:spacing w:line="300" w:lineRule="auto"/>
        <w:ind w:firstLine="480" w:firstLineChars="200"/>
        <w:rPr>
          <w:rFonts w:ascii="宋体" w:hAnsi="宋体"/>
          <w:color w:val="000000"/>
          <w:sz w:val="24"/>
        </w:rPr>
      </w:pPr>
      <w:r>
        <w:rPr>
          <w:rFonts w:hint="eastAsia" w:ascii="宋体" w:hAnsi="宋体"/>
          <w:color w:val="000000"/>
          <w:sz w:val="24"/>
        </w:rPr>
        <w:t>二、货物（标的）采购清单：</w:t>
      </w:r>
    </w:p>
    <w:tbl>
      <w:tblPr>
        <w:tblStyle w:val="3"/>
        <w:tblW w:w="861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3"/>
        <w:gridCol w:w="1415"/>
        <w:gridCol w:w="2268"/>
        <w:gridCol w:w="1134"/>
        <w:gridCol w:w="1134"/>
        <w:gridCol w:w="992"/>
        <w:gridCol w:w="992"/>
      </w:tblGrid>
      <w:tr w14:paraId="22375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683" w:type="dxa"/>
            <w:vAlign w:val="center"/>
          </w:tcPr>
          <w:p w14:paraId="55E8D6CC">
            <w:pPr>
              <w:jc w:val="center"/>
              <w:rPr>
                <w:rFonts w:ascii="宋体"/>
              </w:rPr>
            </w:pPr>
            <w:r>
              <w:rPr>
                <w:rFonts w:hint="eastAsia" w:ascii="宋体" w:hAnsi="宋体"/>
              </w:rPr>
              <w:t>序号</w:t>
            </w:r>
          </w:p>
        </w:tc>
        <w:tc>
          <w:tcPr>
            <w:tcW w:w="1415" w:type="dxa"/>
            <w:vAlign w:val="center"/>
          </w:tcPr>
          <w:p w14:paraId="60852FF1">
            <w:pPr>
              <w:jc w:val="center"/>
              <w:rPr>
                <w:rFonts w:ascii="宋体"/>
              </w:rPr>
            </w:pPr>
            <w:r>
              <w:rPr>
                <w:rFonts w:hint="eastAsia" w:ascii="宋体" w:hAnsi="宋体"/>
              </w:rPr>
              <w:t>服务名称</w:t>
            </w:r>
          </w:p>
        </w:tc>
        <w:tc>
          <w:tcPr>
            <w:tcW w:w="2268" w:type="dxa"/>
            <w:vAlign w:val="center"/>
          </w:tcPr>
          <w:p w14:paraId="708D169A">
            <w:pPr>
              <w:jc w:val="center"/>
              <w:rPr>
                <w:rFonts w:ascii="宋体"/>
              </w:rPr>
            </w:pPr>
            <w:r>
              <w:rPr>
                <w:rFonts w:hint="eastAsia" w:ascii="宋体" w:hAnsi="宋体"/>
              </w:rPr>
              <w:t>服务要求</w:t>
            </w:r>
          </w:p>
        </w:tc>
        <w:tc>
          <w:tcPr>
            <w:tcW w:w="1134" w:type="dxa"/>
            <w:vAlign w:val="center"/>
          </w:tcPr>
          <w:p w14:paraId="6FA8FAEB">
            <w:pPr>
              <w:jc w:val="center"/>
              <w:rPr>
                <w:rFonts w:ascii="宋体"/>
              </w:rPr>
            </w:pPr>
            <w:r>
              <w:rPr>
                <w:rFonts w:hint="eastAsia" w:ascii="宋体" w:hAnsi="宋体"/>
              </w:rPr>
              <w:t>数量</w:t>
            </w:r>
          </w:p>
        </w:tc>
        <w:tc>
          <w:tcPr>
            <w:tcW w:w="1134" w:type="dxa"/>
            <w:vAlign w:val="center"/>
          </w:tcPr>
          <w:p w14:paraId="40AEF5A5">
            <w:pPr>
              <w:jc w:val="center"/>
              <w:rPr>
                <w:rFonts w:ascii="宋体" w:hAnsi="宋体"/>
              </w:rPr>
            </w:pPr>
            <w:r>
              <w:rPr>
                <w:rFonts w:hint="eastAsia" w:ascii="宋体" w:hAnsi="宋体"/>
              </w:rPr>
              <w:t>单位</w:t>
            </w:r>
          </w:p>
        </w:tc>
        <w:tc>
          <w:tcPr>
            <w:tcW w:w="992" w:type="dxa"/>
            <w:vAlign w:val="center"/>
          </w:tcPr>
          <w:p w14:paraId="1312808E">
            <w:pPr>
              <w:jc w:val="center"/>
              <w:rPr>
                <w:rFonts w:ascii="宋体"/>
              </w:rPr>
            </w:pPr>
            <w:r>
              <w:rPr>
                <w:rFonts w:hint="eastAsia" w:ascii="宋体" w:hAnsi="宋体"/>
              </w:rPr>
              <w:t>单价</w:t>
            </w:r>
          </w:p>
        </w:tc>
        <w:tc>
          <w:tcPr>
            <w:tcW w:w="992" w:type="dxa"/>
            <w:vAlign w:val="center"/>
          </w:tcPr>
          <w:p w14:paraId="47DA713F">
            <w:pPr>
              <w:jc w:val="center"/>
              <w:rPr>
                <w:rFonts w:ascii="宋体"/>
              </w:rPr>
            </w:pPr>
            <w:r>
              <w:rPr>
                <w:rFonts w:hint="eastAsia" w:ascii="宋体" w:hAnsi="宋体"/>
              </w:rPr>
              <w:t>总价</w:t>
            </w:r>
          </w:p>
        </w:tc>
      </w:tr>
      <w:tr w14:paraId="502BE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2" w:hRule="atLeast"/>
        </w:trPr>
        <w:tc>
          <w:tcPr>
            <w:tcW w:w="683" w:type="dxa"/>
            <w:vAlign w:val="center"/>
          </w:tcPr>
          <w:p w14:paraId="4021CCC3">
            <w:pPr>
              <w:jc w:val="center"/>
              <w:rPr>
                <w:rFonts w:ascii="宋体"/>
              </w:rPr>
            </w:pPr>
            <w:r>
              <w:rPr>
                <w:rFonts w:ascii="宋体"/>
              </w:rPr>
              <w:t>1</w:t>
            </w:r>
          </w:p>
        </w:tc>
        <w:tc>
          <w:tcPr>
            <w:tcW w:w="1415" w:type="dxa"/>
            <w:vAlign w:val="center"/>
          </w:tcPr>
          <w:p w14:paraId="6BB91859">
            <w:pPr>
              <w:rPr>
                <w:rFonts w:ascii="宋体"/>
              </w:rPr>
            </w:pPr>
            <w:r>
              <w:rPr>
                <w:rFonts w:hint="eastAsia" w:ascii="宋体"/>
              </w:rPr>
              <w:t>江苏海洋大学建筑物规划核实、房产测绘、地籍调查等服务</w:t>
            </w:r>
          </w:p>
        </w:tc>
        <w:tc>
          <w:tcPr>
            <w:tcW w:w="2268" w:type="dxa"/>
            <w:vAlign w:val="center"/>
          </w:tcPr>
          <w:p w14:paraId="36E8016C">
            <w:pPr>
              <w:rPr>
                <w:rFonts w:ascii="宋体"/>
              </w:rPr>
            </w:pPr>
            <w:r>
              <w:rPr>
                <w:rFonts w:hint="eastAsia" w:ascii="宋体"/>
              </w:rPr>
              <w:t>1.进行现状实测来完成规划核实；</w:t>
            </w:r>
          </w:p>
          <w:p w14:paraId="7D8B6612">
            <w:pPr>
              <w:rPr>
                <w:rFonts w:ascii="宋体"/>
              </w:rPr>
            </w:pPr>
            <w:r>
              <w:rPr>
                <w:rFonts w:hint="eastAsia" w:ascii="宋体"/>
              </w:rPr>
              <w:t>2.进行房产测绘出具房产分户图；</w:t>
            </w:r>
          </w:p>
          <w:p w14:paraId="67D7B892">
            <w:pPr>
              <w:rPr>
                <w:rFonts w:ascii="宋体"/>
              </w:rPr>
            </w:pPr>
            <w:r>
              <w:rPr>
                <w:rFonts w:hint="eastAsia" w:ascii="宋体"/>
              </w:rPr>
              <w:t>3.进行办理不动产证书的建筑物完成地籍调查工作；</w:t>
            </w:r>
          </w:p>
          <w:p w14:paraId="59D0B8F1">
            <w:pPr>
              <w:rPr>
                <w:rFonts w:ascii="宋体"/>
              </w:rPr>
            </w:pPr>
            <w:r>
              <w:rPr>
                <w:rFonts w:ascii="宋体"/>
              </w:rPr>
              <w:t>4.</w:t>
            </w:r>
            <w:r>
              <w:rPr>
                <w:rFonts w:hint="eastAsia" w:ascii="宋体"/>
              </w:rPr>
              <w:t>完成不动产权证登记报审所需全部材料。</w:t>
            </w:r>
          </w:p>
        </w:tc>
        <w:tc>
          <w:tcPr>
            <w:tcW w:w="1134" w:type="dxa"/>
            <w:vAlign w:val="center"/>
          </w:tcPr>
          <w:p w14:paraId="3753D1B7">
            <w:pPr>
              <w:rPr>
                <w:rFonts w:hint="eastAsia" w:ascii="宋体"/>
              </w:rPr>
            </w:pPr>
            <w:r>
              <w:rPr>
                <w:rFonts w:hint="eastAsia" w:ascii="宋体"/>
              </w:rPr>
              <w:t>157900</w:t>
            </w:r>
          </w:p>
        </w:tc>
        <w:tc>
          <w:tcPr>
            <w:tcW w:w="1134" w:type="dxa"/>
            <w:vAlign w:val="center"/>
          </w:tcPr>
          <w:p w14:paraId="25A11CFE">
            <w:pPr>
              <w:rPr>
                <w:rFonts w:hint="eastAsia" w:ascii="宋体"/>
              </w:rPr>
            </w:pPr>
            <w:r>
              <w:rPr>
                <w:rFonts w:hint="eastAsia" w:ascii="宋体"/>
              </w:rPr>
              <w:t>平方米</w:t>
            </w:r>
          </w:p>
        </w:tc>
        <w:tc>
          <w:tcPr>
            <w:tcW w:w="992" w:type="dxa"/>
            <w:vAlign w:val="center"/>
          </w:tcPr>
          <w:p w14:paraId="30E20900">
            <w:pPr>
              <w:rPr>
                <w:rFonts w:ascii="宋体"/>
              </w:rPr>
            </w:pPr>
          </w:p>
        </w:tc>
        <w:tc>
          <w:tcPr>
            <w:tcW w:w="992" w:type="dxa"/>
            <w:vAlign w:val="center"/>
          </w:tcPr>
          <w:p w14:paraId="6A801ED6">
            <w:pPr>
              <w:rPr>
                <w:rFonts w:ascii="宋体"/>
              </w:rPr>
            </w:pPr>
          </w:p>
        </w:tc>
      </w:tr>
    </w:tbl>
    <w:p w14:paraId="308DB458">
      <w:pPr>
        <w:spacing w:line="300" w:lineRule="auto"/>
        <w:ind w:firstLine="480" w:firstLineChars="200"/>
        <w:rPr>
          <w:rFonts w:ascii="宋体" w:hAnsi="宋体"/>
          <w:color w:val="000000"/>
          <w:sz w:val="24"/>
        </w:rPr>
      </w:pPr>
      <w:r>
        <w:rPr>
          <w:rFonts w:hint="eastAsia" w:ascii="宋体" w:hAnsi="宋体"/>
          <w:color w:val="000000"/>
          <w:sz w:val="24"/>
        </w:rPr>
        <w:t>三、技术指标要求</w:t>
      </w:r>
    </w:p>
    <w:p w14:paraId="40CD7304">
      <w:pPr>
        <w:spacing w:line="300" w:lineRule="auto"/>
        <w:ind w:firstLine="480" w:firstLineChars="200"/>
        <w:rPr>
          <w:rFonts w:ascii="宋体" w:hAnsi="宋体"/>
          <w:color w:val="000000"/>
          <w:sz w:val="24"/>
        </w:rPr>
      </w:pPr>
      <w:r>
        <w:rPr>
          <w:rFonts w:hint="eastAsia" w:ascii="宋体" w:hAnsi="宋体"/>
          <w:color w:val="000000"/>
          <w:sz w:val="24"/>
        </w:rPr>
        <w:t>（一）参考依据</w:t>
      </w:r>
    </w:p>
    <w:p w14:paraId="24C23F9D">
      <w:pPr>
        <w:spacing w:line="300" w:lineRule="auto"/>
        <w:ind w:firstLine="480" w:firstLineChars="200"/>
        <w:rPr>
          <w:rFonts w:ascii="宋体" w:hAnsi="宋体"/>
          <w:color w:val="000000"/>
          <w:sz w:val="24"/>
        </w:rPr>
      </w:pPr>
      <w:r>
        <w:rPr>
          <w:rFonts w:hint="eastAsia" w:ascii="宋体" w:hAnsi="宋体"/>
          <w:color w:val="000000"/>
          <w:sz w:val="24"/>
        </w:rPr>
        <w:t>1．《国家基本比例尺地图图式 第1 部分：1∶500 1∶1000 1∶2000 地形图图式》GB/T 20257.1-2017</w:t>
      </w:r>
    </w:p>
    <w:p w14:paraId="4B0F37BC">
      <w:pPr>
        <w:spacing w:line="300" w:lineRule="auto"/>
        <w:ind w:firstLine="480" w:firstLineChars="200"/>
        <w:rPr>
          <w:rFonts w:ascii="宋体" w:hAnsi="宋体"/>
          <w:color w:val="000000"/>
          <w:sz w:val="24"/>
        </w:rPr>
      </w:pPr>
      <w:r>
        <w:rPr>
          <w:rFonts w:hint="eastAsia" w:ascii="宋体" w:hAnsi="宋体"/>
          <w:color w:val="000000"/>
          <w:sz w:val="24"/>
        </w:rPr>
        <w:t>2．《1:500 1:1 000 1:2 000外业数字测图规程》GB/T 14912-2017</w:t>
      </w:r>
    </w:p>
    <w:p w14:paraId="21DA0F00">
      <w:pPr>
        <w:spacing w:line="300" w:lineRule="auto"/>
        <w:ind w:firstLine="480" w:firstLineChars="200"/>
        <w:rPr>
          <w:rFonts w:ascii="宋体" w:hAnsi="宋体"/>
          <w:color w:val="000000"/>
          <w:sz w:val="24"/>
        </w:rPr>
      </w:pPr>
      <w:r>
        <w:rPr>
          <w:rFonts w:hint="eastAsia" w:ascii="宋体" w:hAnsi="宋体"/>
          <w:color w:val="000000"/>
          <w:sz w:val="24"/>
        </w:rPr>
        <w:t>3．《建筑工程建筑面积计算规范》GB/T50353-2013</w:t>
      </w:r>
    </w:p>
    <w:p w14:paraId="457E3576">
      <w:pPr>
        <w:spacing w:line="300" w:lineRule="auto"/>
        <w:ind w:firstLine="480" w:firstLineChars="200"/>
        <w:rPr>
          <w:rFonts w:ascii="宋体" w:hAnsi="宋体"/>
          <w:color w:val="000000"/>
          <w:sz w:val="24"/>
        </w:rPr>
      </w:pPr>
      <w:r>
        <w:rPr>
          <w:rFonts w:hint="eastAsia" w:ascii="宋体" w:hAnsi="宋体"/>
          <w:color w:val="000000"/>
          <w:sz w:val="24"/>
        </w:rPr>
        <w:t>4．《房产测量规范 第1单元：房产测量规定》GB/T 17986.1-2000</w:t>
      </w:r>
    </w:p>
    <w:p w14:paraId="15D5CE21">
      <w:pPr>
        <w:spacing w:line="300" w:lineRule="auto"/>
        <w:ind w:firstLine="480" w:firstLineChars="200"/>
        <w:rPr>
          <w:rFonts w:ascii="宋体" w:hAnsi="宋体"/>
          <w:color w:val="000000"/>
          <w:sz w:val="24"/>
        </w:rPr>
      </w:pPr>
      <w:r>
        <w:rPr>
          <w:rFonts w:hint="eastAsia" w:ascii="宋体" w:hAnsi="宋体"/>
          <w:color w:val="000000"/>
          <w:sz w:val="24"/>
        </w:rPr>
        <w:t>5．《房产测量规范 第2单元：房产图图式》GB/T 17986.2-2000</w:t>
      </w:r>
    </w:p>
    <w:p w14:paraId="46518ECC">
      <w:pPr>
        <w:spacing w:line="300" w:lineRule="auto"/>
        <w:ind w:firstLine="480" w:firstLineChars="200"/>
        <w:rPr>
          <w:rFonts w:ascii="宋体" w:hAnsi="宋体"/>
          <w:color w:val="000000"/>
          <w:sz w:val="24"/>
        </w:rPr>
      </w:pPr>
      <w:r>
        <w:rPr>
          <w:rFonts w:hint="eastAsia" w:ascii="宋体" w:hAnsi="宋体"/>
          <w:color w:val="000000"/>
          <w:sz w:val="24"/>
        </w:rPr>
        <w:t>6．《测绘成果质量检查与验收》GB/T 24356-2023</w:t>
      </w:r>
    </w:p>
    <w:p w14:paraId="41DFF489">
      <w:pPr>
        <w:spacing w:line="300" w:lineRule="auto"/>
        <w:ind w:firstLine="480" w:firstLineChars="200"/>
        <w:rPr>
          <w:rFonts w:ascii="宋体" w:hAnsi="宋体"/>
          <w:color w:val="000000"/>
          <w:sz w:val="24"/>
        </w:rPr>
      </w:pPr>
      <w:r>
        <w:rPr>
          <w:rFonts w:hint="eastAsia" w:ascii="宋体" w:hAnsi="宋体"/>
          <w:color w:val="000000"/>
          <w:sz w:val="24"/>
        </w:rPr>
        <w:t>7．《全球定位系统（GPS）测量规范》GB/T 18314-2009</w:t>
      </w:r>
    </w:p>
    <w:p w14:paraId="47B51019">
      <w:pPr>
        <w:spacing w:line="300" w:lineRule="auto"/>
        <w:ind w:firstLine="480" w:firstLineChars="200"/>
        <w:rPr>
          <w:rFonts w:ascii="宋体" w:hAnsi="宋体"/>
          <w:color w:val="000000"/>
          <w:sz w:val="24"/>
        </w:rPr>
      </w:pPr>
      <w:r>
        <w:rPr>
          <w:rFonts w:hint="eastAsia" w:ascii="宋体" w:hAnsi="宋体"/>
          <w:color w:val="000000"/>
          <w:sz w:val="24"/>
        </w:rPr>
        <w:t>8．《全球定位系统实时动态测量（RTK）技术规范》CH/T 2009-2010</w:t>
      </w:r>
    </w:p>
    <w:p w14:paraId="0837713E">
      <w:pPr>
        <w:spacing w:line="300" w:lineRule="auto"/>
        <w:ind w:firstLine="480" w:firstLineChars="200"/>
        <w:rPr>
          <w:rFonts w:ascii="宋体" w:hAnsi="宋体"/>
          <w:color w:val="000000"/>
          <w:sz w:val="24"/>
        </w:rPr>
      </w:pPr>
      <w:r>
        <w:rPr>
          <w:rFonts w:hint="eastAsia" w:ascii="宋体" w:hAnsi="宋体"/>
          <w:color w:val="000000"/>
          <w:sz w:val="24"/>
        </w:rPr>
        <w:t>9．《地籍调查规程》TD/T 1001-2012</w:t>
      </w:r>
    </w:p>
    <w:p w14:paraId="5200090D">
      <w:pPr>
        <w:spacing w:line="300" w:lineRule="auto"/>
        <w:ind w:firstLine="480" w:firstLineChars="200"/>
        <w:rPr>
          <w:rFonts w:ascii="宋体" w:hAnsi="宋体"/>
          <w:color w:val="000000"/>
          <w:sz w:val="24"/>
        </w:rPr>
      </w:pPr>
      <w:r>
        <w:rPr>
          <w:rFonts w:hint="eastAsia" w:ascii="宋体" w:hAnsi="宋体"/>
          <w:color w:val="000000"/>
          <w:sz w:val="24"/>
        </w:rPr>
        <w:t>10．《城市测量规范》CJJ/T8-2011</w:t>
      </w:r>
    </w:p>
    <w:p w14:paraId="66681408">
      <w:pPr>
        <w:spacing w:line="300" w:lineRule="auto"/>
        <w:ind w:firstLine="480" w:firstLineChars="200"/>
        <w:rPr>
          <w:rFonts w:ascii="宋体" w:hAnsi="宋体"/>
          <w:color w:val="000000"/>
          <w:sz w:val="24"/>
        </w:rPr>
      </w:pPr>
      <w:r>
        <w:rPr>
          <w:rFonts w:hint="eastAsia" w:ascii="宋体" w:hAnsi="宋体"/>
          <w:color w:val="000000"/>
          <w:sz w:val="24"/>
        </w:rPr>
        <w:t>11．《连云港市建设工程竣工规划核实暂行办法》（连规发〔2016〕102号）</w:t>
      </w:r>
    </w:p>
    <w:p w14:paraId="41D56EB8">
      <w:pPr>
        <w:spacing w:line="300" w:lineRule="auto"/>
        <w:ind w:firstLine="480" w:firstLineChars="200"/>
        <w:rPr>
          <w:rFonts w:ascii="宋体" w:hAnsi="宋体"/>
          <w:color w:val="000000"/>
          <w:sz w:val="24"/>
        </w:rPr>
      </w:pPr>
      <w:r>
        <w:rPr>
          <w:rFonts w:hint="eastAsia" w:ascii="宋体" w:hAnsi="宋体"/>
          <w:color w:val="000000"/>
          <w:sz w:val="24"/>
        </w:rPr>
        <w:t>12．其他相关国家、行业技术标准规范</w:t>
      </w:r>
    </w:p>
    <w:p w14:paraId="34054D54">
      <w:pPr>
        <w:spacing w:line="300" w:lineRule="auto"/>
        <w:ind w:firstLine="480" w:firstLineChars="200"/>
        <w:rPr>
          <w:rFonts w:ascii="宋体" w:hAnsi="宋体"/>
          <w:color w:val="000000"/>
          <w:sz w:val="24"/>
        </w:rPr>
      </w:pPr>
      <w:r>
        <w:rPr>
          <w:rFonts w:hint="eastAsia" w:ascii="宋体" w:hAnsi="宋体"/>
          <w:color w:val="000000"/>
          <w:sz w:val="24"/>
        </w:rPr>
        <w:t>（二）数学基础</w:t>
      </w:r>
    </w:p>
    <w:p w14:paraId="4A746A1B">
      <w:pPr>
        <w:spacing w:line="300" w:lineRule="auto"/>
        <w:ind w:firstLine="480" w:firstLineChars="200"/>
        <w:rPr>
          <w:rFonts w:ascii="宋体" w:hAnsi="宋体"/>
          <w:color w:val="000000"/>
          <w:sz w:val="24"/>
        </w:rPr>
      </w:pPr>
      <w:r>
        <w:rPr>
          <w:rFonts w:hint="eastAsia" w:ascii="宋体" w:hAnsi="宋体"/>
          <w:color w:val="000000"/>
          <w:sz w:val="24"/>
        </w:rPr>
        <w:t>坐标系统：采用2000国家大地坐标系；</w:t>
      </w:r>
    </w:p>
    <w:p w14:paraId="6F17586F">
      <w:pPr>
        <w:spacing w:line="300" w:lineRule="auto"/>
        <w:ind w:firstLine="480" w:firstLineChars="200"/>
        <w:rPr>
          <w:rFonts w:ascii="宋体" w:hAnsi="宋体"/>
          <w:color w:val="000000"/>
          <w:sz w:val="24"/>
        </w:rPr>
      </w:pPr>
      <w:r>
        <w:rPr>
          <w:rFonts w:hint="eastAsia" w:ascii="宋体" w:hAnsi="宋体"/>
          <w:color w:val="000000"/>
          <w:sz w:val="24"/>
        </w:rPr>
        <w:t>投影方式：高斯-克吕格投影， 3°分带，中央子午线120°；</w:t>
      </w:r>
    </w:p>
    <w:p w14:paraId="474C6917">
      <w:pPr>
        <w:spacing w:line="300" w:lineRule="auto"/>
        <w:ind w:firstLine="480" w:firstLineChars="200"/>
        <w:rPr>
          <w:rFonts w:ascii="宋体" w:hAnsi="宋体"/>
          <w:color w:val="000000"/>
          <w:sz w:val="24"/>
        </w:rPr>
      </w:pPr>
      <w:r>
        <w:rPr>
          <w:rFonts w:hint="eastAsia" w:ascii="宋体" w:hAnsi="宋体"/>
          <w:color w:val="000000"/>
          <w:sz w:val="24"/>
        </w:rPr>
        <w:t>高程系统：采用1985国家高程基准。</w:t>
      </w:r>
    </w:p>
    <w:p w14:paraId="42245465">
      <w:pPr>
        <w:spacing w:line="300" w:lineRule="auto"/>
        <w:ind w:firstLine="480" w:firstLineChars="200"/>
        <w:rPr>
          <w:rFonts w:ascii="宋体" w:hAnsi="宋体"/>
          <w:color w:val="000000"/>
          <w:sz w:val="24"/>
        </w:rPr>
      </w:pPr>
      <w:r>
        <w:rPr>
          <w:rFonts w:hint="eastAsia" w:ascii="宋体" w:hAnsi="宋体"/>
          <w:color w:val="000000"/>
          <w:sz w:val="24"/>
        </w:rPr>
        <w:t>四、商务要求</w:t>
      </w:r>
    </w:p>
    <w:tbl>
      <w:tblPr>
        <w:tblStyle w:val="3"/>
        <w:tblW w:w="8528"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78AD9A2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C5C06B5">
            <w:pPr>
              <w:shd w:val="solid" w:color="FFFFFF" w:fill="auto"/>
              <w:autoSpaceDN w:val="0"/>
              <w:snapToGrid w:val="0"/>
              <w:spacing w:line="360" w:lineRule="auto"/>
              <w:jc w:val="center"/>
              <w:rPr>
                <w:rFonts w:ascii="宋体" w:hAnsi="宋体"/>
                <w:color w:val="000000"/>
                <w:szCs w:val="21"/>
                <w:shd w:val="clear" w:color="auto" w:fill="FFFFFF"/>
              </w:rPr>
            </w:pPr>
            <w:r>
              <w:rPr>
                <w:rFonts w:ascii="宋体" w:hAnsi="宋体"/>
                <w:color w:val="000000"/>
                <w:szCs w:val="21"/>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E87DFF3">
            <w:pPr>
              <w:shd w:val="solid" w:color="FFFFFF" w:fill="auto"/>
              <w:autoSpaceDN w:val="0"/>
              <w:snapToGrid w:val="0"/>
              <w:spacing w:line="360" w:lineRule="auto"/>
              <w:jc w:val="left"/>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形成的不动产权证登记报审所需全部材料按照</w:t>
            </w:r>
            <w:r>
              <w:rPr>
                <w:rFonts w:ascii="宋体" w:hAnsi="宋体"/>
                <w:color w:val="000000"/>
                <w:szCs w:val="21"/>
                <w:highlight w:val="none"/>
                <w:shd w:val="clear" w:color="auto" w:fill="FFFFFF"/>
              </w:rPr>
              <w:t>不动产登记中心的要求和学校要求</w:t>
            </w:r>
            <w:r>
              <w:rPr>
                <w:rFonts w:hint="eastAsia" w:ascii="宋体" w:hAnsi="宋体"/>
                <w:color w:val="000000"/>
                <w:szCs w:val="21"/>
                <w:highlight w:val="none"/>
                <w:shd w:val="clear" w:color="auto" w:fill="FFFFFF"/>
              </w:rPr>
              <w:t>及时</w:t>
            </w:r>
            <w:r>
              <w:rPr>
                <w:rFonts w:ascii="宋体" w:hAnsi="宋体"/>
                <w:color w:val="000000"/>
                <w:szCs w:val="21"/>
                <w:highlight w:val="none"/>
                <w:shd w:val="clear" w:color="auto" w:fill="FFFFFF"/>
              </w:rPr>
              <w:t>修改补充。</w:t>
            </w:r>
          </w:p>
        </w:tc>
      </w:tr>
      <w:tr w14:paraId="6429DA1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F901051">
            <w:pPr>
              <w:shd w:val="solid" w:color="FFFFFF" w:fill="auto"/>
              <w:autoSpaceDN w:val="0"/>
              <w:snapToGrid w:val="0"/>
              <w:spacing w:line="360" w:lineRule="auto"/>
              <w:jc w:val="center"/>
              <w:rPr>
                <w:rFonts w:ascii="宋体" w:hAnsi="宋体"/>
                <w:color w:val="000000"/>
                <w:szCs w:val="21"/>
                <w:shd w:val="clear" w:color="auto" w:fill="FFFFFF"/>
              </w:rPr>
            </w:pPr>
            <w:r>
              <w:rPr>
                <w:rFonts w:ascii="宋体" w:hAnsi="宋体"/>
                <w:color w:val="000000"/>
                <w:szCs w:val="21"/>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3BB0D3A">
            <w:pPr>
              <w:shd w:val="solid" w:color="FFFFFF" w:fill="auto"/>
              <w:autoSpaceDN w:val="0"/>
              <w:snapToGrid w:val="0"/>
              <w:spacing w:after="100" w:afterAutospacing="1"/>
              <w:jc w:val="left"/>
              <w:rPr>
                <w:rFonts w:ascii="宋体" w:hAnsi="宋体"/>
                <w:color w:val="000000"/>
                <w:szCs w:val="21"/>
                <w:highlight w:val="none"/>
                <w:shd w:val="clear" w:color="auto" w:fill="FFFFFF"/>
              </w:rPr>
            </w:pPr>
            <w:r>
              <w:rPr>
                <w:rFonts w:hint="eastAsia" w:ascii="宋体" w:hAnsi="宋体" w:cs="宋体"/>
                <w:highlight w:val="none"/>
              </w:rPr>
              <w:t>2026年12月</w:t>
            </w:r>
            <w:r>
              <w:rPr>
                <w:rFonts w:hint="eastAsia" w:ascii="宋体" w:hAnsi="宋体" w:cs="宋体"/>
                <w:highlight w:val="none"/>
                <w:lang w:val="en-US" w:eastAsia="zh-CN"/>
              </w:rPr>
              <w:t>10</w:t>
            </w:r>
            <w:r>
              <w:rPr>
                <w:rFonts w:hint="eastAsia" w:ascii="宋体" w:hAnsi="宋体" w:cs="宋体"/>
                <w:highlight w:val="none"/>
              </w:rPr>
              <w:t>日</w:t>
            </w:r>
            <w:r>
              <w:rPr>
                <w:rFonts w:hint="eastAsia" w:ascii="宋体" w:hAnsi="宋体" w:cs="宋体"/>
                <w:highlight w:val="none"/>
                <w:lang w:val="en-US" w:eastAsia="zh-CN"/>
              </w:rPr>
              <w:t>前</w:t>
            </w:r>
            <w:r>
              <w:rPr>
                <w:rFonts w:hint="eastAsia" w:ascii="宋体" w:hAnsi="宋体" w:cs="宋体"/>
                <w:highlight w:val="none"/>
              </w:rPr>
              <w:t>。</w:t>
            </w:r>
          </w:p>
        </w:tc>
      </w:tr>
      <w:tr w14:paraId="6C545A4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1A41842">
            <w:pPr>
              <w:shd w:val="solid" w:color="FFFFFF" w:fill="auto"/>
              <w:autoSpaceDN w:val="0"/>
              <w:snapToGrid w:val="0"/>
              <w:spacing w:line="360" w:lineRule="auto"/>
              <w:jc w:val="center"/>
              <w:rPr>
                <w:rFonts w:ascii="宋体" w:hAnsi="宋体"/>
                <w:color w:val="000000"/>
                <w:szCs w:val="21"/>
                <w:shd w:val="clear" w:color="auto" w:fill="FFFFFF"/>
              </w:rPr>
            </w:pPr>
            <w:r>
              <w:rPr>
                <w:rFonts w:ascii="宋体" w:hAnsi="宋体"/>
                <w:color w:val="000000"/>
                <w:szCs w:val="21"/>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435CB87">
            <w:pPr>
              <w:shd w:val="solid" w:color="FFFFFF" w:fill="auto"/>
              <w:autoSpaceDN w:val="0"/>
              <w:snapToGrid w:val="0"/>
              <w:spacing w:line="360" w:lineRule="auto"/>
              <w:jc w:val="left"/>
              <w:rPr>
                <w:rFonts w:ascii="宋体" w:hAnsi="宋体"/>
                <w:color w:val="000000"/>
                <w:szCs w:val="21"/>
                <w:shd w:val="clear" w:color="auto" w:fill="FFFFFF"/>
              </w:rPr>
            </w:pPr>
            <w:r>
              <w:rPr>
                <w:rFonts w:ascii="宋体" w:hAnsi="宋体"/>
                <w:color w:val="000000"/>
                <w:szCs w:val="21"/>
                <w:shd w:val="clear" w:color="auto" w:fill="FFFFFF"/>
              </w:rPr>
              <w:t>见</w:t>
            </w:r>
            <w:r>
              <w:rPr>
                <w:rFonts w:hint="eastAsia"/>
                <w:szCs w:val="21"/>
              </w:rPr>
              <w:t>第五章合同条款</w:t>
            </w:r>
          </w:p>
        </w:tc>
      </w:tr>
      <w:tr w14:paraId="529ABA2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A75267C">
            <w:pPr>
              <w:shd w:val="solid" w:color="FFFFFF" w:fill="auto"/>
              <w:autoSpaceDN w:val="0"/>
              <w:snapToGrid w:val="0"/>
              <w:spacing w:line="360" w:lineRule="auto"/>
              <w:jc w:val="center"/>
              <w:rPr>
                <w:rFonts w:ascii="宋体" w:hAnsi="宋体"/>
                <w:color w:val="000000"/>
                <w:szCs w:val="21"/>
                <w:shd w:val="clear" w:color="auto" w:fill="FFFFFF"/>
              </w:rPr>
            </w:pPr>
            <w:r>
              <w:rPr>
                <w:rFonts w:ascii="宋体" w:hAnsi="宋体"/>
                <w:color w:val="000000"/>
                <w:szCs w:val="21"/>
                <w:shd w:val="clear" w:color="auto" w:fill="FFFFFF"/>
              </w:rPr>
              <w:t>售后服务保障</w:t>
            </w:r>
            <w:r>
              <w:rPr>
                <w:rFonts w:hint="eastAsia" w:ascii="宋体" w:hAnsi="宋体"/>
                <w:color w:val="000000"/>
                <w:szCs w:val="21"/>
                <w:shd w:val="clear" w:color="auto" w:fill="FFFFFF"/>
              </w:rPr>
              <w:t>要</w:t>
            </w:r>
            <w:r>
              <w:rPr>
                <w:rFonts w:ascii="宋体" w:hAnsi="宋体"/>
                <w:color w:val="000000"/>
                <w:szCs w:val="21"/>
                <w:shd w:val="clear" w:color="auto" w:fill="FFFFFF"/>
              </w:rPr>
              <w:t>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F9635E1">
            <w:pPr>
              <w:shd w:val="solid" w:color="FFFFFF" w:fill="auto"/>
              <w:autoSpaceDN w:val="0"/>
              <w:snapToGrid w:val="0"/>
              <w:spacing w:line="360" w:lineRule="auto"/>
              <w:jc w:val="left"/>
              <w:rPr>
                <w:rFonts w:ascii="宋体" w:hAnsi="宋体"/>
                <w:color w:val="000000"/>
                <w:szCs w:val="21"/>
                <w:highlight w:val="none"/>
                <w:shd w:val="clear" w:color="auto" w:fill="FFFFFF"/>
              </w:rPr>
            </w:pPr>
            <w:r>
              <w:rPr>
                <w:rFonts w:hint="eastAsia" w:ascii="宋体" w:hAnsi="宋体" w:cs="宋体"/>
                <w:szCs w:val="21"/>
                <w:highlight w:val="none"/>
              </w:rPr>
              <w:t>乙方</w:t>
            </w:r>
            <w:r>
              <w:rPr>
                <w:rFonts w:hint="eastAsia" w:ascii="宋体" w:hAnsi="宋体" w:cs="宋体"/>
                <w:szCs w:val="21"/>
                <w:highlight w:val="none"/>
                <w:u w:val="single"/>
              </w:rPr>
              <w:t xml:space="preserve"> </w:t>
            </w:r>
            <w:r>
              <w:rPr>
                <w:rFonts w:ascii="宋体" w:hAnsi="宋体" w:cs="宋体"/>
                <w:szCs w:val="21"/>
                <w:highlight w:val="none"/>
                <w:u w:val="single"/>
              </w:rPr>
              <w:t>1</w:t>
            </w:r>
            <w:r>
              <w:rPr>
                <w:rFonts w:hint="eastAsia" w:ascii="宋体" w:hAnsi="宋体" w:cs="宋体"/>
                <w:szCs w:val="21"/>
                <w:highlight w:val="none"/>
                <w:u w:val="single"/>
              </w:rPr>
              <w:t xml:space="preserve"> </w:t>
            </w:r>
            <w:r>
              <w:rPr>
                <w:rFonts w:hint="eastAsia" w:ascii="宋体" w:hAnsi="宋体" w:cs="宋体"/>
                <w:szCs w:val="21"/>
                <w:highlight w:val="none"/>
              </w:rPr>
              <w:t>小时内响应甲方的服务要求，</w:t>
            </w:r>
            <w:r>
              <w:rPr>
                <w:rFonts w:hint="eastAsia" w:ascii="宋体" w:hAnsi="宋体" w:cs="宋体"/>
                <w:szCs w:val="21"/>
                <w:highlight w:val="none"/>
                <w:u w:val="single"/>
              </w:rPr>
              <w:t xml:space="preserve"> </w:t>
            </w:r>
            <w:r>
              <w:rPr>
                <w:rFonts w:ascii="宋体" w:hAnsi="宋体" w:cs="宋体"/>
                <w:szCs w:val="21"/>
                <w:highlight w:val="none"/>
                <w:u w:val="single"/>
              </w:rPr>
              <w:t>72</w:t>
            </w:r>
            <w:r>
              <w:rPr>
                <w:rFonts w:hint="eastAsia" w:ascii="宋体" w:hAnsi="宋体" w:cs="宋体"/>
                <w:szCs w:val="21"/>
                <w:highlight w:val="none"/>
                <w:u w:val="single"/>
              </w:rPr>
              <w:t xml:space="preserve"> </w:t>
            </w:r>
            <w:r>
              <w:rPr>
                <w:rFonts w:hint="eastAsia" w:ascii="宋体" w:hAnsi="宋体" w:cs="宋体"/>
                <w:szCs w:val="21"/>
                <w:highlight w:val="none"/>
              </w:rPr>
              <w:t>小时内解决，如超过</w:t>
            </w:r>
            <w:r>
              <w:rPr>
                <w:rFonts w:hint="eastAsia" w:ascii="宋体" w:hAnsi="宋体" w:cs="宋体"/>
                <w:szCs w:val="21"/>
                <w:highlight w:val="none"/>
                <w:u w:val="single"/>
              </w:rPr>
              <w:t xml:space="preserve"> </w:t>
            </w:r>
            <w:r>
              <w:rPr>
                <w:rFonts w:ascii="宋体" w:hAnsi="宋体" w:cs="宋体"/>
                <w:szCs w:val="21"/>
                <w:highlight w:val="none"/>
                <w:u w:val="single"/>
              </w:rPr>
              <w:t>72</w:t>
            </w:r>
            <w:r>
              <w:rPr>
                <w:rFonts w:hint="eastAsia" w:ascii="宋体" w:hAnsi="宋体" w:cs="宋体"/>
                <w:szCs w:val="21"/>
                <w:highlight w:val="none"/>
              </w:rPr>
              <w:t>小时仍不能解决，由乙方告知甲方</w:t>
            </w:r>
            <w:r>
              <w:rPr>
                <w:rFonts w:ascii="宋体" w:hAnsi="宋体" w:cs="宋体"/>
                <w:szCs w:val="21"/>
                <w:highlight w:val="none"/>
              </w:rPr>
              <w:t>具体原因和</w:t>
            </w:r>
            <w:r>
              <w:rPr>
                <w:rFonts w:hint="eastAsia" w:ascii="宋体" w:hAnsi="宋体" w:cs="宋体"/>
                <w:szCs w:val="21"/>
                <w:highlight w:val="none"/>
              </w:rPr>
              <w:t>拟</w:t>
            </w:r>
            <w:r>
              <w:rPr>
                <w:rFonts w:ascii="宋体" w:hAnsi="宋体" w:cs="宋体"/>
                <w:szCs w:val="21"/>
                <w:highlight w:val="none"/>
              </w:rPr>
              <w:t>解决时限</w:t>
            </w:r>
            <w:r>
              <w:rPr>
                <w:rFonts w:hint="eastAsia" w:ascii="宋体" w:hAnsi="宋体" w:cs="宋体"/>
                <w:szCs w:val="21"/>
                <w:highlight w:val="none"/>
              </w:rPr>
              <w:t>。</w:t>
            </w:r>
          </w:p>
        </w:tc>
      </w:tr>
    </w:tbl>
    <w:p w14:paraId="6372C6B9">
      <w:pPr>
        <w:spacing w:line="300" w:lineRule="auto"/>
        <w:ind w:firstLine="480" w:firstLineChars="200"/>
        <w:rPr>
          <w:rFonts w:ascii="宋体" w:hAnsi="宋体"/>
          <w:color w:val="000000"/>
          <w:sz w:val="24"/>
        </w:rPr>
      </w:pPr>
      <w:r>
        <w:rPr>
          <w:rFonts w:hint="eastAsia" w:ascii="宋体" w:hAnsi="宋体"/>
          <w:color w:val="000000"/>
          <w:sz w:val="24"/>
        </w:rPr>
        <w:t>五、履约验收要求</w:t>
      </w:r>
    </w:p>
    <w:p w14:paraId="73D07DBE">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中标人严格按约定时间供货，2026年12月</w:t>
      </w:r>
      <w:r>
        <w:rPr>
          <w:rFonts w:hint="eastAsia" w:ascii="宋体" w:hAnsi="宋体"/>
          <w:color w:val="000000"/>
          <w:sz w:val="24"/>
          <w:highlight w:val="none"/>
          <w:lang w:val="en-US" w:eastAsia="zh-CN"/>
        </w:rPr>
        <w:t>10日</w:t>
      </w:r>
      <w:r>
        <w:rPr>
          <w:rFonts w:hint="eastAsia" w:ascii="宋体" w:hAnsi="宋体"/>
          <w:color w:val="000000"/>
          <w:sz w:val="24"/>
          <w:highlight w:val="none"/>
        </w:rPr>
        <w:t>前完成相应</w:t>
      </w:r>
      <w:r>
        <w:rPr>
          <w:rFonts w:ascii="宋体" w:hAnsi="宋体"/>
          <w:color w:val="000000"/>
          <w:sz w:val="24"/>
          <w:highlight w:val="none"/>
        </w:rPr>
        <w:t>建筑物</w:t>
      </w:r>
      <w:r>
        <w:rPr>
          <w:rFonts w:hint="eastAsia" w:ascii="宋体" w:hAnsi="宋体"/>
          <w:color w:val="000000"/>
          <w:sz w:val="24"/>
          <w:highlight w:val="none"/>
        </w:rPr>
        <w:t>不动产权证登记报审所需全部材料。提供的材料必须符合相关的技术规范与标准。</w:t>
      </w:r>
    </w:p>
    <w:p w14:paraId="55938F35">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六、其它要求</w:t>
      </w:r>
    </w:p>
    <w:p w14:paraId="7648D711">
      <w:pPr>
        <w:spacing w:line="300" w:lineRule="auto"/>
        <w:ind w:firstLine="480" w:firstLineChars="200"/>
        <w:rPr>
          <w:rFonts w:ascii="宋体" w:hAnsi="宋体" w:cs="MS Shell Dlg"/>
          <w:sz w:val="24"/>
          <w:highlight w:val="none"/>
        </w:rPr>
      </w:pPr>
      <w:r>
        <w:rPr>
          <w:rFonts w:ascii="宋体" w:hAnsi="宋体" w:cs="MS Shell Dlg"/>
          <w:sz w:val="24"/>
          <w:highlight w:val="none"/>
        </w:rPr>
        <w:t>1</w:t>
      </w:r>
      <w:r>
        <w:rPr>
          <w:rFonts w:hint="eastAsia" w:ascii="宋体" w:hAnsi="宋体" w:cs="MS Shell Dlg"/>
          <w:sz w:val="24"/>
          <w:highlight w:val="none"/>
        </w:rPr>
        <w:t>．数据安全保密要求：中标人对本项目涉及的所有信息及数据具有保密义务，在工作过程中要严格遵守工作保密制度，不经过采购人同意不得向任何第三方提供项目相关信息，如造成信息泄露或其他损失由中标人承担。</w:t>
      </w:r>
    </w:p>
    <w:p w14:paraId="636F9B17">
      <w:pPr>
        <w:spacing w:line="300" w:lineRule="auto"/>
        <w:ind w:firstLine="480" w:firstLineChars="200"/>
        <w:rPr>
          <w:rFonts w:ascii="宋体" w:hAnsi="宋体" w:cs="MS Shell Dlg"/>
          <w:sz w:val="24"/>
          <w:highlight w:val="none"/>
        </w:rPr>
      </w:pPr>
      <w:r>
        <w:rPr>
          <w:rFonts w:ascii="宋体" w:hAnsi="宋体" w:cs="MS Shell Dlg"/>
          <w:sz w:val="24"/>
          <w:highlight w:val="none"/>
        </w:rPr>
        <w:t>2</w:t>
      </w:r>
      <w:r>
        <w:rPr>
          <w:rFonts w:hint="eastAsia" w:ascii="宋体" w:hAnsi="宋体" w:cs="MS Shell Dlg"/>
          <w:sz w:val="24"/>
          <w:highlight w:val="none"/>
        </w:rPr>
        <w:t>．质量要求：完成的所有成果要求数量齐全、质量有保证。若中标人提供的成果质量不合格造成返工的，由中标人自行承担相关费用。</w:t>
      </w:r>
    </w:p>
    <w:p w14:paraId="65D1781A">
      <w:pPr>
        <w:spacing w:line="300" w:lineRule="auto"/>
        <w:ind w:firstLine="480" w:firstLineChars="200"/>
        <w:rPr>
          <w:rFonts w:ascii="宋体" w:hAnsi="宋体" w:cs="MS Shell Dlg"/>
          <w:sz w:val="24"/>
          <w:highlight w:val="none"/>
        </w:rPr>
      </w:pPr>
      <w:r>
        <w:rPr>
          <w:rFonts w:ascii="宋体" w:hAnsi="宋体" w:cs="MS Shell Dlg"/>
          <w:sz w:val="24"/>
          <w:highlight w:val="none"/>
        </w:rPr>
        <w:t>3</w:t>
      </w:r>
      <w:r>
        <w:rPr>
          <w:rFonts w:hint="eastAsia" w:ascii="宋体" w:hAnsi="宋体" w:cs="MS Shell Dlg"/>
          <w:sz w:val="24"/>
          <w:highlight w:val="none"/>
        </w:rPr>
        <w:t>．安全生产要求：技术服务保障团队在项目实施过程中必须严格执行安全生产管理制度，做好安全保障工作，不因项目实施而危及自身及第三方人员、财产安全。</w:t>
      </w:r>
    </w:p>
    <w:p w14:paraId="21CF356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MS Shell Dlg">
    <w:altName w:val="Microsoft Sans Serif"/>
    <w:panose1 w:val="020B0604020202020204"/>
    <w:charset w:val="00"/>
    <w:family w:val="swiss"/>
    <w:pitch w:val="default"/>
    <w:sig w:usb0="00000000" w:usb1="0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43732B"/>
    <w:rsid w:val="030E6BBE"/>
    <w:rsid w:val="09101BBC"/>
    <w:rsid w:val="091F0E9B"/>
    <w:rsid w:val="09623170"/>
    <w:rsid w:val="1043732B"/>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607C3374"/>
    <w:rsid w:val="69683078"/>
    <w:rsid w:val="6E0C6685"/>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Default"/>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2026-05-18T07:12:00Z</dcterms:created>
  <dc:creator>WD..</dc:creator>
  <cp:lastModifiedBy>WD..</cp:lastModifiedBy>
  <dcterms:modified xsi:type="dcterms:W3CDTF">2026-05-18T07:13:10Z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89513CBC86FB4B16B7595B7764173380_11</vt:lpwstr>
  </property>
  <property fmtid="{D5CDD505-2E9C-101B-9397-08002B2CF9AE}" pid="4" name="KSOTemplateDocerSaveRecord">
    <vt:lpwstr>eyJoZGlkIjoiNGVjMTVmYTdjM2IyZTNhYzM3NzgwMDZmODZkNzRiZTMiLCJ1c2VySWQiOiI0MzIxMTkxMDIifQ==</vt:lpwstr>
  </property>
</Properties>
</file>