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D283A8">
      <w:pPr>
        <w:widowControl/>
        <w:jc w:val="center"/>
        <w:rPr>
          <w:b/>
          <w:sz w:val="32"/>
          <w:szCs w:val="32"/>
        </w:rPr>
      </w:pPr>
      <w:r>
        <w:rPr>
          <w:rFonts w:hint="eastAsia"/>
          <w:b/>
          <w:sz w:val="32"/>
          <w:szCs w:val="32"/>
        </w:rPr>
        <w:t>第四章 项目（货物或者服务）需求说明</w:t>
      </w:r>
    </w:p>
    <w:p w14:paraId="7F11A50F">
      <w:pPr>
        <w:spacing w:line="300" w:lineRule="auto"/>
        <w:ind w:firstLine="480" w:firstLineChars="200"/>
        <w:rPr>
          <w:rFonts w:hint="eastAsia" w:ascii="宋体" w:hAnsi="宋体"/>
          <w:color w:val="000000"/>
          <w:sz w:val="24"/>
        </w:rPr>
      </w:pPr>
      <w:r>
        <w:rPr>
          <w:rFonts w:hint="eastAsia" w:ascii="宋体" w:hAnsi="宋体"/>
          <w:color w:val="000000"/>
          <w:sz w:val="24"/>
        </w:rPr>
        <w:t>一、项目背景（或概况）：</w:t>
      </w:r>
    </w:p>
    <w:p w14:paraId="62F63944">
      <w:pPr>
        <w:spacing w:line="300" w:lineRule="auto"/>
        <w:ind w:firstLine="420" w:firstLineChars="200"/>
        <w:rPr>
          <w:color w:val="000000"/>
          <w:szCs w:val="21"/>
          <w:u w:val="single"/>
        </w:rPr>
      </w:pPr>
      <w:r>
        <w:rPr>
          <w:rFonts w:hint="eastAsia" w:ascii="宋体" w:hAnsi="宋体"/>
          <w:color w:val="000000"/>
          <w:szCs w:val="21"/>
        </w:rPr>
        <w:t xml:space="preserve">   </w:t>
      </w:r>
      <w:r>
        <w:rPr>
          <w:color w:val="000000"/>
          <w:szCs w:val="21"/>
          <w:u w:val="single"/>
        </w:rPr>
        <w:t>本项目面向涉海公共艺术设计相关专业教学需求，建设由虚拟仿真实验软件、VR设备及配套桌椅组成的教学实践环境，丰富课程教学形式，提升学生的实践能力、创新能力和综合素养。</w:t>
      </w:r>
    </w:p>
    <w:p w14:paraId="1AFFD99F">
      <w:pPr>
        <w:spacing w:line="300" w:lineRule="auto"/>
        <w:rPr>
          <w:rFonts w:hint="eastAsia" w:ascii="宋体" w:hAnsi="宋体"/>
          <w:color w:val="000000"/>
          <w:szCs w:val="21"/>
        </w:rPr>
      </w:pPr>
    </w:p>
    <w:p w14:paraId="644C5C29">
      <w:pPr>
        <w:spacing w:line="300" w:lineRule="auto"/>
        <w:ind w:firstLine="480" w:firstLineChars="200"/>
        <w:rPr>
          <w:rFonts w:hint="eastAsia" w:ascii="宋体" w:hAnsi="宋体"/>
          <w:color w:val="000000"/>
          <w:sz w:val="24"/>
        </w:rPr>
      </w:pPr>
      <w:r>
        <w:rPr>
          <w:rFonts w:hint="eastAsia" w:ascii="宋体" w:hAnsi="宋体"/>
          <w:color w:val="000000"/>
          <w:sz w:val="24"/>
        </w:rPr>
        <w:t>二、货物（标的）采购清单：</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402"/>
        <w:gridCol w:w="816"/>
        <w:gridCol w:w="885"/>
        <w:gridCol w:w="885"/>
      </w:tblGrid>
      <w:tr w14:paraId="0ED5D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607881F6">
            <w:pPr>
              <w:widowControl/>
              <w:jc w:val="center"/>
              <w:rPr>
                <w:rFonts w:hint="eastAsia" w:ascii="宋体" w:hAnsi="宋体" w:cs="Helvetica"/>
                <w:b/>
                <w:sz w:val="24"/>
              </w:rPr>
            </w:pPr>
            <w:r>
              <w:rPr>
                <w:rFonts w:hint="eastAsia" w:ascii="宋体" w:hAnsi="宋体" w:cs="Helvetica"/>
                <w:b/>
                <w:sz w:val="24"/>
              </w:rPr>
              <w:t>序号</w:t>
            </w:r>
          </w:p>
        </w:tc>
        <w:tc>
          <w:tcPr>
            <w:tcW w:w="3402" w:type="dxa"/>
            <w:vAlign w:val="center"/>
          </w:tcPr>
          <w:p w14:paraId="0A1E97E2">
            <w:pPr>
              <w:widowControl/>
              <w:jc w:val="center"/>
              <w:rPr>
                <w:rFonts w:hint="eastAsia" w:ascii="宋体" w:hAnsi="宋体" w:cs="Helvetica"/>
                <w:b/>
                <w:sz w:val="24"/>
              </w:rPr>
            </w:pPr>
            <w:r>
              <w:rPr>
                <w:rFonts w:hint="eastAsia" w:ascii="宋体" w:hAnsi="宋体" w:cs="Helvetica"/>
                <w:b/>
                <w:sz w:val="24"/>
              </w:rPr>
              <w:t>货物名称</w:t>
            </w:r>
          </w:p>
        </w:tc>
        <w:tc>
          <w:tcPr>
            <w:tcW w:w="816" w:type="dxa"/>
            <w:vAlign w:val="center"/>
          </w:tcPr>
          <w:p w14:paraId="52B56097">
            <w:pPr>
              <w:widowControl/>
              <w:jc w:val="center"/>
              <w:rPr>
                <w:rFonts w:ascii="宋体" w:hAnsi="Calibri"/>
                <w:b/>
                <w:sz w:val="24"/>
              </w:rPr>
            </w:pPr>
            <w:r>
              <w:rPr>
                <w:rFonts w:hint="eastAsia" w:ascii="Calibri" w:hAnsi="Calibri"/>
                <w:b/>
                <w:sz w:val="24"/>
              </w:rPr>
              <w:t>数量</w:t>
            </w:r>
          </w:p>
        </w:tc>
        <w:tc>
          <w:tcPr>
            <w:tcW w:w="885" w:type="dxa"/>
            <w:vAlign w:val="center"/>
          </w:tcPr>
          <w:p w14:paraId="13475022">
            <w:pPr>
              <w:widowControl/>
              <w:jc w:val="center"/>
              <w:rPr>
                <w:rFonts w:ascii="Calibri" w:hAnsi="Calibri"/>
                <w:b/>
                <w:sz w:val="24"/>
              </w:rPr>
            </w:pPr>
            <w:r>
              <w:rPr>
                <w:rFonts w:hint="eastAsia" w:ascii="Calibri" w:hAnsi="Calibri"/>
                <w:b/>
                <w:sz w:val="24"/>
              </w:rPr>
              <w:t>单位</w:t>
            </w:r>
          </w:p>
        </w:tc>
        <w:tc>
          <w:tcPr>
            <w:tcW w:w="885" w:type="dxa"/>
            <w:vAlign w:val="center"/>
          </w:tcPr>
          <w:p w14:paraId="31D9E292">
            <w:pPr>
              <w:widowControl/>
              <w:jc w:val="center"/>
              <w:rPr>
                <w:rFonts w:ascii="Calibri" w:hAnsi="Calibri"/>
                <w:b/>
                <w:sz w:val="24"/>
              </w:rPr>
            </w:pPr>
            <w:r>
              <w:rPr>
                <w:rFonts w:hint="eastAsia" w:ascii="Calibri" w:hAnsi="Calibri"/>
                <w:b/>
                <w:sz w:val="24"/>
              </w:rPr>
              <w:t>是否核 心产品</w:t>
            </w:r>
          </w:p>
        </w:tc>
      </w:tr>
      <w:tr w14:paraId="6D286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tcPr>
          <w:p w14:paraId="3D1AE47D">
            <w:pPr>
              <w:widowControl/>
              <w:jc w:val="center"/>
              <w:rPr>
                <w:rFonts w:hint="eastAsia" w:ascii="宋体" w:hAnsi="宋体" w:cs="Helvetica"/>
                <w:sz w:val="24"/>
              </w:rPr>
            </w:pPr>
            <w:r>
              <w:rPr>
                <w:rFonts w:hint="eastAsia" w:ascii="宋体" w:hAnsi="宋体" w:cs="Helvetica"/>
                <w:sz w:val="24"/>
              </w:rPr>
              <w:t>1</w:t>
            </w:r>
          </w:p>
        </w:tc>
        <w:tc>
          <w:tcPr>
            <w:tcW w:w="3402" w:type="dxa"/>
            <w:vAlign w:val="center"/>
          </w:tcPr>
          <w:p w14:paraId="4BBC58FD">
            <w:pPr>
              <w:jc w:val="center"/>
              <w:rPr>
                <w:rFonts w:hint="eastAsia" w:ascii="宋体" w:hAnsi="宋体" w:cs="宋体"/>
                <w:sz w:val="24"/>
              </w:rPr>
            </w:pPr>
            <w:r>
              <w:rPr>
                <w:rFonts w:ascii="宋体" w:hAnsi="宋体" w:cs="宋体"/>
                <w:sz w:val="24"/>
              </w:rPr>
              <w:t>虚仿现实立体实训体验终端</w:t>
            </w:r>
          </w:p>
        </w:tc>
        <w:tc>
          <w:tcPr>
            <w:tcW w:w="816" w:type="dxa"/>
            <w:vAlign w:val="center"/>
          </w:tcPr>
          <w:p w14:paraId="13AEC9FD">
            <w:pPr>
              <w:jc w:val="center"/>
              <w:rPr>
                <w:rFonts w:hint="eastAsia" w:ascii="宋体" w:hAnsi="宋体" w:cs="宋体"/>
                <w:sz w:val="24"/>
              </w:rPr>
            </w:pPr>
            <w:r>
              <w:rPr>
                <w:rFonts w:hint="eastAsia" w:ascii="宋体" w:hAnsi="宋体" w:cs="宋体"/>
                <w:sz w:val="24"/>
              </w:rPr>
              <w:t>4</w:t>
            </w:r>
          </w:p>
        </w:tc>
        <w:tc>
          <w:tcPr>
            <w:tcW w:w="885" w:type="dxa"/>
            <w:vAlign w:val="center"/>
          </w:tcPr>
          <w:p w14:paraId="3387ADDA">
            <w:pPr>
              <w:jc w:val="center"/>
              <w:rPr>
                <w:rFonts w:hint="eastAsia" w:ascii="宋体" w:hAnsi="宋体" w:cs="宋体"/>
                <w:sz w:val="24"/>
              </w:rPr>
            </w:pPr>
            <w:r>
              <w:rPr>
                <w:rFonts w:hint="eastAsia" w:ascii="宋体" w:hAnsi="宋体" w:cs="宋体"/>
                <w:sz w:val="24"/>
              </w:rPr>
              <w:t>台</w:t>
            </w:r>
          </w:p>
        </w:tc>
        <w:tc>
          <w:tcPr>
            <w:tcW w:w="885" w:type="dxa"/>
            <w:vAlign w:val="center"/>
          </w:tcPr>
          <w:p w14:paraId="77254DD9">
            <w:pPr>
              <w:jc w:val="center"/>
              <w:rPr>
                <w:rFonts w:hint="eastAsia" w:ascii="宋体" w:hAnsi="宋体" w:cs="宋体"/>
                <w:sz w:val="24"/>
              </w:rPr>
            </w:pPr>
            <w:r>
              <w:rPr>
                <w:rFonts w:hint="eastAsia" w:ascii="宋体" w:hAnsi="宋体" w:cs="宋体"/>
                <w:sz w:val="24"/>
              </w:rPr>
              <w:t>否</w:t>
            </w:r>
          </w:p>
        </w:tc>
      </w:tr>
      <w:tr w14:paraId="6170E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tcPr>
          <w:p w14:paraId="42E5AEB5">
            <w:pPr>
              <w:widowControl/>
              <w:jc w:val="center"/>
              <w:rPr>
                <w:rFonts w:hint="eastAsia" w:ascii="宋体" w:hAnsi="宋体" w:cs="Helvetica"/>
                <w:sz w:val="24"/>
              </w:rPr>
            </w:pPr>
            <w:r>
              <w:rPr>
                <w:rFonts w:hint="eastAsia" w:ascii="宋体" w:hAnsi="宋体" w:cs="Helvetica"/>
                <w:sz w:val="24"/>
              </w:rPr>
              <w:t>2</w:t>
            </w:r>
          </w:p>
        </w:tc>
        <w:tc>
          <w:tcPr>
            <w:tcW w:w="3402" w:type="dxa"/>
            <w:vAlign w:val="center"/>
          </w:tcPr>
          <w:p w14:paraId="006C2DCD">
            <w:pPr>
              <w:jc w:val="center"/>
              <w:rPr>
                <w:rFonts w:hint="eastAsia" w:ascii="宋体" w:hAnsi="宋体" w:cs="宋体"/>
                <w:sz w:val="24"/>
              </w:rPr>
            </w:pPr>
            <w:r>
              <w:rPr>
                <w:rFonts w:ascii="宋体" w:hAnsi="宋体" w:cs="宋体"/>
                <w:sz w:val="24"/>
              </w:rPr>
              <w:t>实训终端专用充电柜</w:t>
            </w:r>
          </w:p>
        </w:tc>
        <w:tc>
          <w:tcPr>
            <w:tcW w:w="816" w:type="dxa"/>
            <w:vAlign w:val="center"/>
          </w:tcPr>
          <w:p w14:paraId="5125AEFE">
            <w:pPr>
              <w:jc w:val="center"/>
              <w:rPr>
                <w:rFonts w:hint="eastAsia" w:ascii="宋体" w:hAnsi="宋体" w:cs="宋体"/>
                <w:sz w:val="24"/>
              </w:rPr>
            </w:pPr>
            <w:r>
              <w:rPr>
                <w:rFonts w:hint="eastAsia" w:ascii="宋体" w:hAnsi="宋体" w:cs="宋体"/>
                <w:sz w:val="24"/>
              </w:rPr>
              <w:t>1</w:t>
            </w:r>
          </w:p>
        </w:tc>
        <w:tc>
          <w:tcPr>
            <w:tcW w:w="885" w:type="dxa"/>
            <w:vAlign w:val="center"/>
          </w:tcPr>
          <w:p w14:paraId="2DB735D8">
            <w:pPr>
              <w:jc w:val="center"/>
              <w:rPr>
                <w:rFonts w:hint="eastAsia" w:ascii="宋体" w:hAnsi="宋体" w:cs="宋体"/>
                <w:sz w:val="24"/>
              </w:rPr>
            </w:pPr>
            <w:r>
              <w:rPr>
                <w:rFonts w:hint="eastAsia" w:ascii="宋体" w:hAnsi="宋体" w:cs="宋体"/>
                <w:sz w:val="24"/>
              </w:rPr>
              <w:t>台</w:t>
            </w:r>
          </w:p>
        </w:tc>
        <w:tc>
          <w:tcPr>
            <w:tcW w:w="885" w:type="dxa"/>
            <w:vAlign w:val="center"/>
          </w:tcPr>
          <w:p w14:paraId="6899702A">
            <w:pPr>
              <w:jc w:val="center"/>
              <w:rPr>
                <w:rFonts w:hint="eastAsia" w:ascii="宋体" w:hAnsi="宋体" w:cs="宋体"/>
                <w:sz w:val="24"/>
              </w:rPr>
            </w:pPr>
            <w:r>
              <w:rPr>
                <w:rFonts w:hint="eastAsia" w:ascii="宋体" w:hAnsi="宋体" w:cs="宋体"/>
                <w:sz w:val="24"/>
              </w:rPr>
              <w:t>否</w:t>
            </w:r>
          </w:p>
        </w:tc>
      </w:tr>
      <w:tr w14:paraId="53FE1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tcPr>
          <w:p w14:paraId="4446A83E">
            <w:pPr>
              <w:widowControl/>
              <w:jc w:val="center"/>
              <w:rPr>
                <w:rFonts w:hint="eastAsia" w:ascii="宋体" w:hAnsi="宋体" w:cs="Helvetica"/>
                <w:sz w:val="24"/>
              </w:rPr>
            </w:pPr>
            <w:r>
              <w:rPr>
                <w:rFonts w:hint="eastAsia" w:ascii="宋体" w:hAnsi="宋体" w:cs="Helvetica"/>
                <w:sz w:val="24"/>
              </w:rPr>
              <w:t>3</w:t>
            </w:r>
          </w:p>
        </w:tc>
        <w:tc>
          <w:tcPr>
            <w:tcW w:w="3402" w:type="dxa"/>
            <w:vAlign w:val="center"/>
          </w:tcPr>
          <w:p w14:paraId="65B11967">
            <w:pPr>
              <w:jc w:val="center"/>
              <w:rPr>
                <w:rFonts w:hint="eastAsia" w:ascii="宋体" w:hAnsi="宋体" w:cs="宋体"/>
                <w:sz w:val="24"/>
              </w:rPr>
            </w:pPr>
            <w:r>
              <w:rPr>
                <w:rFonts w:ascii="宋体" w:hAnsi="宋体" w:cs="宋体"/>
                <w:sz w:val="24"/>
              </w:rPr>
              <w:t>多边形科技感桌椅</w:t>
            </w:r>
          </w:p>
        </w:tc>
        <w:tc>
          <w:tcPr>
            <w:tcW w:w="816" w:type="dxa"/>
            <w:vAlign w:val="center"/>
          </w:tcPr>
          <w:p w14:paraId="56287E2D">
            <w:pPr>
              <w:jc w:val="center"/>
              <w:rPr>
                <w:rFonts w:hint="eastAsia" w:ascii="宋体" w:hAnsi="宋体" w:cs="宋体"/>
                <w:sz w:val="24"/>
              </w:rPr>
            </w:pPr>
            <w:r>
              <w:rPr>
                <w:rFonts w:hint="eastAsia" w:ascii="宋体" w:hAnsi="宋体" w:cs="宋体"/>
                <w:sz w:val="24"/>
              </w:rPr>
              <w:t>4</w:t>
            </w:r>
          </w:p>
        </w:tc>
        <w:tc>
          <w:tcPr>
            <w:tcW w:w="885" w:type="dxa"/>
            <w:vAlign w:val="center"/>
          </w:tcPr>
          <w:p w14:paraId="6A7D648E">
            <w:pPr>
              <w:jc w:val="center"/>
              <w:rPr>
                <w:rFonts w:hint="eastAsia" w:ascii="宋体" w:hAnsi="宋体" w:cs="宋体"/>
                <w:sz w:val="24"/>
              </w:rPr>
            </w:pPr>
            <w:r>
              <w:rPr>
                <w:rFonts w:hint="eastAsia" w:ascii="宋体" w:hAnsi="宋体" w:cs="宋体"/>
                <w:sz w:val="24"/>
              </w:rPr>
              <w:t>套</w:t>
            </w:r>
          </w:p>
        </w:tc>
        <w:tc>
          <w:tcPr>
            <w:tcW w:w="885" w:type="dxa"/>
            <w:vAlign w:val="center"/>
          </w:tcPr>
          <w:p w14:paraId="67877E1D">
            <w:pPr>
              <w:jc w:val="center"/>
              <w:rPr>
                <w:rFonts w:hint="eastAsia" w:ascii="宋体" w:hAnsi="宋体" w:cs="宋体"/>
                <w:sz w:val="24"/>
              </w:rPr>
            </w:pPr>
            <w:r>
              <w:rPr>
                <w:rFonts w:hint="eastAsia" w:ascii="宋体" w:hAnsi="宋体" w:cs="宋体"/>
                <w:sz w:val="24"/>
              </w:rPr>
              <w:t>否</w:t>
            </w:r>
          </w:p>
        </w:tc>
      </w:tr>
      <w:tr w14:paraId="53E3C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tcPr>
          <w:p w14:paraId="561C33C6">
            <w:pPr>
              <w:widowControl/>
              <w:jc w:val="center"/>
              <w:rPr>
                <w:rFonts w:hint="eastAsia" w:ascii="宋体" w:hAnsi="宋体" w:cs="Helvetica"/>
                <w:sz w:val="24"/>
              </w:rPr>
            </w:pPr>
            <w:r>
              <w:rPr>
                <w:rFonts w:hint="eastAsia" w:ascii="宋体" w:hAnsi="宋体" w:cs="Helvetica"/>
                <w:sz w:val="24"/>
              </w:rPr>
              <w:t>4</w:t>
            </w:r>
          </w:p>
        </w:tc>
        <w:tc>
          <w:tcPr>
            <w:tcW w:w="3402" w:type="dxa"/>
            <w:vAlign w:val="center"/>
          </w:tcPr>
          <w:p w14:paraId="12FB0641">
            <w:pPr>
              <w:jc w:val="center"/>
              <w:rPr>
                <w:rFonts w:hint="eastAsia" w:ascii="宋体" w:hAnsi="宋体" w:cs="宋体"/>
                <w:sz w:val="24"/>
              </w:rPr>
            </w:pPr>
            <w:r>
              <w:rPr>
                <w:rFonts w:ascii="宋体" w:hAnsi="宋体" w:cs="宋体"/>
                <w:sz w:val="24"/>
              </w:rPr>
              <w:t>智慧虚拟仿真课程</w:t>
            </w:r>
          </w:p>
        </w:tc>
        <w:tc>
          <w:tcPr>
            <w:tcW w:w="816" w:type="dxa"/>
            <w:vAlign w:val="center"/>
          </w:tcPr>
          <w:p w14:paraId="432B9E7D">
            <w:pPr>
              <w:jc w:val="center"/>
              <w:rPr>
                <w:rFonts w:hint="eastAsia" w:ascii="宋体" w:hAnsi="宋体" w:cs="宋体"/>
                <w:sz w:val="24"/>
              </w:rPr>
            </w:pPr>
            <w:r>
              <w:rPr>
                <w:rFonts w:hint="eastAsia" w:ascii="宋体" w:hAnsi="宋体" w:cs="宋体"/>
                <w:sz w:val="24"/>
              </w:rPr>
              <w:t>1</w:t>
            </w:r>
          </w:p>
        </w:tc>
        <w:tc>
          <w:tcPr>
            <w:tcW w:w="885" w:type="dxa"/>
            <w:vAlign w:val="center"/>
          </w:tcPr>
          <w:p w14:paraId="7B6C080F">
            <w:pPr>
              <w:jc w:val="center"/>
              <w:rPr>
                <w:rFonts w:hint="eastAsia" w:ascii="宋体" w:hAnsi="宋体" w:cs="宋体"/>
                <w:sz w:val="24"/>
              </w:rPr>
            </w:pPr>
            <w:r>
              <w:rPr>
                <w:rFonts w:hint="eastAsia" w:ascii="宋体" w:hAnsi="宋体" w:cs="宋体"/>
                <w:sz w:val="24"/>
              </w:rPr>
              <w:t>套</w:t>
            </w:r>
          </w:p>
        </w:tc>
        <w:tc>
          <w:tcPr>
            <w:tcW w:w="885" w:type="dxa"/>
            <w:vAlign w:val="center"/>
          </w:tcPr>
          <w:p w14:paraId="7A7E21CE">
            <w:pPr>
              <w:jc w:val="center"/>
              <w:rPr>
                <w:rFonts w:hint="eastAsia" w:ascii="宋体" w:hAnsi="宋体" w:cs="宋体"/>
                <w:sz w:val="24"/>
              </w:rPr>
            </w:pPr>
            <w:r>
              <w:rPr>
                <w:rFonts w:hint="eastAsia" w:ascii="宋体" w:hAnsi="宋体" w:cs="宋体"/>
                <w:sz w:val="24"/>
              </w:rPr>
              <w:t>是</w:t>
            </w:r>
          </w:p>
        </w:tc>
      </w:tr>
    </w:tbl>
    <w:p w14:paraId="654F9678">
      <w:pPr>
        <w:spacing w:line="300" w:lineRule="auto"/>
        <w:ind w:firstLine="420" w:firstLineChars="200"/>
        <w:rPr>
          <w:rFonts w:hint="eastAsia" w:ascii="宋体" w:hAnsi="宋体"/>
          <w:color w:val="000000"/>
          <w:szCs w:val="21"/>
        </w:rPr>
      </w:pPr>
    </w:p>
    <w:p w14:paraId="394C53CF">
      <w:pPr>
        <w:spacing w:line="300" w:lineRule="auto"/>
        <w:ind w:firstLine="480" w:firstLineChars="200"/>
        <w:rPr>
          <w:rFonts w:hint="eastAsia" w:ascii="宋体" w:hAnsi="宋体"/>
          <w:color w:val="000000"/>
          <w:szCs w:val="21"/>
        </w:rPr>
      </w:pPr>
      <w:r>
        <w:rPr>
          <w:rFonts w:hint="eastAsia" w:ascii="宋体" w:hAnsi="宋体"/>
          <w:color w:val="000000"/>
          <w:sz w:val="24"/>
        </w:rPr>
        <w:t>三、货物技术参数及功能指标：</w:t>
      </w:r>
    </w:p>
    <w:tbl>
      <w:tblPr>
        <w:tblStyle w:val="2"/>
        <w:tblW w:w="8477"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59"/>
        <w:gridCol w:w="6210"/>
      </w:tblGrid>
      <w:tr w14:paraId="4BBA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4037FA5A">
            <w:pPr>
              <w:widowControl/>
              <w:spacing w:line="360" w:lineRule="auto"/>
              <w:jc w:val="center"/>
              <w:rPr>
                <w:rFonts w:hint="eastAsia" w:ascii="宋体" w:hAnsi="宋体" w:cs="Helvetica"/>
                <w:b/>
                <w:sz w:val="24"/>
              </w:rPr>
            </w:pPr>
            <w:r>
              <w:rPr>
                <w:rFonts w:hint="eastAsia" w:ascii="宋体" w:hAnsi="宋体" w:cs="Helvetica"/>
                <w:b/>
                <w:sz w:val="24"/>
              </w:rPr>
              <w:t>序号</w:t>
            </w:r>
          </w:p>
        </w:tc>
        <w:tc>
          <w:tcPr>
            <w:tcW w:w="1559" w:type="dxa"/>
            <w:vAlign w:val="center"/>
          </w:tcPr>
          <w:p w14:paraId="3E8C137B">
            <w:pPr>
              <w:widowControl/>
              <w:spacing w:line="360" w:lineRule="auto"/>
              <w:jc w:val="center"/>
              <w:rPr>
                <w:rFonts w:hint="eastAsia" w:ascii="宋体" w:hAnsi="宋体" w:cs="Helvetica"/>
                <w:b/>
                <w:sz w:val="24"/>
              </w:rPr>
            </w:pPr>
            <w:r>
              <w:rPr>
                <w:rFonts w:hint="eastAsia" w:ascii="宋体" w:hAnsi="宋体" w:cs="Helvetica"/>
                <w:b/>
                <w:sz w:val="24"/>
              </w:rPr>
              <w:t>货物名称</w:t>
            </w:r>
          </w:p>
        </w:tc>
        <w:tc>
          <w:tcPr>
            <w:tcW w:w="6210" w:type="dxa"/>
            <w:vAlign w:val="center"/>
          </w:tcPr>
          <w:p w14:paraId="1ED425C9">
            <w:pPr>
              <w:widowControl/>
              <w:spacing w:line="360" w:lineRule="auto"/>
              <w:jc w:val="center"/>
              <w:rPr>
                <w:rFonts w:hint="eastAsia" w:ascii="宋体" w:hAnsi="宋体" w:cs="Helvetica"/>
                <w:b/>
                <w:sz w:val="24"/>
              </w:rPr>
            </w:pPr>
            <w:r>
              <w:rPr>
                <w:rFonts w:hint="eastAsia" w:ascii="宋体" w:hAnsi="宋体" w:cs="Helvetica"/>
                <w:b/>
                <w:sz w:val="24"/>
              </w:rPr>
              <w:t>技术参数及功能指标</w:t>
            </w:r>
          </w:p>
        </w:tc>
      </w:tr>
      <w:tr w14:paraId="6BB6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44BC054C">
            <w:pPr>
              <w:widowControl/>
              <w:spacing w:line="360" w:lineRule="auto"/>
              <w:jc w:val="center"/>
              <w:rPr>
                <w:rFonts w:hint="eastAsia" w:ascii="宋体" w:hAnsi="宋体" w:cs="Helvetica"/>
                <w:szCs w:val="21"/>
              </w:rPr>
            </w:pPr>
            <w:r>
              <w:rPr>
                <w:rFonts w:hint="eastAsia" w:ascii="宋体" w:hAnsi="宋体" w:cs="Helvetica"/>
                <w:szCs w:val="21"/>
              </w:rPr>
              <w:t>1</w:t>
            </w:r>
          </w:p>
        </w:tc>
        <w:tc>
          <w:tcPr>
            <w:tcW w:w="1559" w:type="dxa"/>
            <w:vAlign w:val="center"/>
          </w:tcPr>
          <w:p w14:paraId="7C241EDB">
            <w:pPr>
              <w:spacing w:line="360" w:lineRule="auto"/>
              <w:jc w:val="center"/>
              <w:rPr>
                <w:rFonts w:hint="eastAsia" w:ascii="宋体" w:hAnsi="宋体" w:cs="宋体"/>
                <w:kern w:val="0"/>
                <w:szCs w:val="21"/>
              </w:rPr>
            </w:pPr>
            <w:r>
              <w:rPr>
                <w:rFonts w:ascii="宋体" w:hAnsi="宋体" w:cs="宋体"/>
                <w:szCs w:val="21"/>
              </w:rPr>
              <w:t>虚仿现实立体实训体验终端</w:t>
            </w:r>
          </w:p>
        </w:tc>
        <w:tc>
          <w:tcPr>
            <w:tcW w:w="6210" w:type="dxa"/>
            <w:vAlign w:val="center"/>
          </w:tcPr>
          <w:p w14:paraId="10C0A721">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1.CPU：高通XR2Gen2；</w:t>
            </w:r>
          </w:p>
          <w:p w14:paraId="49D8624C">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2.内存：12GBRAMLPDDR5；</w:t>
            </w:r>
          </w:p>
          <w:p w14:paraId="0D3FD820">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3.闪存：UFS3.1256GB；</w:t>
            </w:r>
          </w:p>
          <w:p w14:paraId="65530749">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4.分辨率：总分辨率4320x2160，单眼分辨率2160x2160，1200PPI；</w:t>
            </w:r>
          </w:p>
          <w:p w14:paraId="3D4B562F">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5.刷新率：72/90Hz；</w:t>
            </w:r>
          </w:p>
          <w:p w14:paraId="0E361AAD">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6.视场角：105°</w:t>
            </w:r>
          </w:p>
          <w:p w14:paraId="4CAA0AE8">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7.屏幕：2.56"x2；</w:t>
            </w:r>
          </w:p>
          <w:p w14:paraId="327138A1">
            <w:pPr>
              <w:spacing w:line="360" w:lineRule="auto"/>
              <w:jc w:val="left"/>
              <w:rPr>
                <w:rFonts w:hint="eastAsia" w:ascii="宋体" w:hAnsi="宋体" w:cs="宋体"/>
                <w:kern w:val="0"/>
                <w:szCs w:val="21"/>
              </w:rPr>
            </w:pPr>
            <w:r>
              <w:rPr>
                <w:rFonts w:hint="eastAsia" w:ascii="宋体" w:hAnsi="宋体" w:cs="宋体"/>
                <w:kern w:val="0"/>
                <w:szCs w:val="21"/>
              </w:rPr>
              <w:t>●8.提供三维创作空间场景，可连接至投影屏幕或第三方显示器并可在虚拟场景中漫游、瞬移，提供画笔绘画、切换颜色等功能，可使用手柄控制进行切换和画面自由交互。</w:t>
            </w:r>
            <w:r>
              <w:rPr>
                <w:rFonts w:hint="eastAsia" w:ascii="宋体" w:hAnsi="宋体" w:cs="宋体"/>
                <w:b/>
                <w:bCs/>
                <w:kern w:val="0"/>
                <w:szCs w:val="21"/>
              </w:rPr>
              <w:t>（提供该功能视频演示）</w:t>
            </w:r>
          </w:p>
          <w:p w14:paraId="3C9643DE">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▲9.支持沉浸式下多种漫游方式：无需编程与脚本即可快速支持视点切换、瞬移、飞毯、行走、锁定垂直轴向、选择平面、锁定平面多种漫游方式</w:t>
            </w:r>
            <w:r>
              <w:rPr>
                <w:rFonts w:hint="eastAsia" w:ascii="宋体" w:hAnsi="宋体" w:cs="宋体"/>
                <w:b/>
                <w:bCs/>
                <w:kern w:val="0"/>
                <w:szCs w:val="21"/>
              </w:rPr>
              <w:t>（提供软件证明截图并加盖投标人公章）</w:t>
            </w:r>
          </w:p>
        </w:tc>
      </w:tr>
      <w:tr w14:paraId="3789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50395FEE">
            <w:pPr>
              <w:widowControl/>
              <w:spacing w:line="360" w:lineRule="auto"/>
              <w:jc w:val="center"/>
              <w:rPr>
                <w:rFonts w:hint="eastAsia" w:ascii="宋体" w:hAnsi="宋体" w:cs="Helvetica"/>
                <w:szCs w:val="21"/>
              </w:rPr>
            </w:pPr>
            <w:r>
              <w:rPr>
                <w:rFonts w:hint="eastAsia" w:ascii="宋体" w:hAnsi="宋体" w:cs="Helvetica"/>
                <w:szCs w:val="21"/>
              </w:rPr>
              <w:t>2</w:t>
            </w:r>
          </w:p>
        </w:tc>
        <w:tc>
          <w:tcPr>
            <w:tcW w:w="1559" w:type="dxa"/>
            <w:vAlign w:val="center"/>
          </w:tcPr>
          <w:p w14:paraId="4422001B">
            <w:pPr>
              <w:spacing w:line="360" w:lineRule="auto"/>
              <w:jc w:val="center"/>
              <w:rPr>
                <w:rFonts w:hint="eastAsia" w:ascii="宋体" w:hAnsi="宋体" w:cs="宋体"/>
                <w:kern w:val="0"/>
                <w:szCs w:val="21"/>
              </w:rPr>
            </w:pPr>
            <w:r>
              <w:rPr>
                <w:rFonts w:ascii="宋体" w:hAnsi="宋体" w:cs="宋体"/>
                <w:szCs w:val="21"/>
              </w:rPr>
              <w:t>实训终端专用充电柜</w:t>
            </w:r>
          </w:p>
        </w:tc>
        <w:tc>
          <w:tcPr>
            <w:tcW w:w="6210" w:type="dxa"/>
            <w:vAlign w:val="center"/>
          </w:tcPr>
          <w:p w14:paraId="676AF30F">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1.面板材质：镀锌板材，坚固耐用；</w:t>
            </w:r>
          </w:p>
          <w:p w14:paraId="0CFB6BD5">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2.过载保护：超载时自动切换横在模式，严重超载时切断电源，保护设备；</w:t>
            </w:r>
          </w:p>
          <w:p w14:paraId="246474A4">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3.隔离保护：强弱电隔离设计，电器屏蔽式安装，安全低压；</w:t>
            </w:r>
          </w:p>
          <w:p w14:paraId="3CDB7C23">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4.过充保护：智能检测充电设备电量，充电完成后自动停止充电，实现无忧充电；</w:t>
            </w:r>
          </w:p>
          <w:p w14:paraId="4B362C45">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5.无需设置，即插即用，智能充电管理；</w:t>
            </w:r>
          </w:p>
          <w:p w14:paraId="784D3FEF">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6.满足不少于20位VR头盔充电使用；</w:t>
            </w:r>
          </w:p>
          <w:p w14:paraId="469AB11B">
            <w:pPr>
              <w:adjustRightInd w:val="0"/>
              <w:snapToGrid w:val="0"/>
              <w:spacing w:line="360" w:lineRule="auto"/>
              <w:jc w:val="left"/>
              <w:rPr>
                <w:rFonts w:hint="eastAsia" w:ascii="宋体" w:hAnsi="宋体"/>
                <w:szCs w:val="21"/>
              </w:rPr>
            </w:pPr>
            <w:r>
              <w:rPr>
                <w:rFonts w:hint="eastAsia" w:ascii="宋体" w:hAnsi="宋体" w:cs="宋体"/>
                <w:kern w:val="0"/>
                <w:szCs w:val="21"/>
              </w:rPr>
              <w:t>7.ABS塑料隔板，富有韧性，支撑力强，椭圆设计，防止产品划伤；</w:t>
            </w:r>
          </w:p>
        </w:tc>
      </w:tr>
      <w:tr w14:paraId="1DE7D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23B3EFA3">
            <w:pPr>
              <w:widowControl/>
              <w:spacing w:line="360" w:lineRule="auto"/>
              <w:jc w:val="center"/>
              <w:rPr>
                <w:rFonts w:hint="eastAsia" w:ascii="宋体" w:hAnsi="宋体" w:cs="Helvetica"/>
                <w:szCs w:val="21"/>
              </w:rPr>
            </w:pPr>
            <w:r>
              <w:rPr>
                <w:rFonts w:hint="eastAsia" w:ascii="宋体" w:hAnsi="宋体" w:cs="Helvetica"/>
                <w:szCs w:val="21"/>
              </w:rPr>
              <w:t>3</w:t>
            </w:r>
          </w:p>
        </w:tc>
        <w:tc>
          <w:tcPr>
            <w:tcW w:w="1559" w:type="dxa"/>
            <w:vAlign w:val="center"/>
          </w:tcPr>
          <w:p w14:paraId="48FCFFD4">
            <w:pPr>
              <w:spacing w:line="360" w:lineRule="auto"/>
              <w:jc w:val="center"/>
              <w:rPr>
                <w:rFonts w:hint="eastAsia" w:ascii="宋体" w:hAnsi="宋体" w:cs="宋体"/>
                <w:kern w:val="0"/>
                <w:szCs w:val="21"/>
              </w:rPr>
            </w:pPr>
            <w:r>
              <w:rPr>
                <w:rFonts w:ascii="宋体" w:hAnsi="宋体" w:cs="宋体"/>
                <w:szCs w:val="21"/>
              </w:rPr>
              <w:t>多边形科技感桌椅</w:t>
            </w:r>
          </w:p>
        </w:tc>
        <w:tc>
          <w:tcPr>
            <w:tcW w:w="6210" w:type="dxa"/>
            <w:vAlign w:val="center"/>
          </w:tcPr>
          <w:p w14:paraId="2CEF4A06">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1.智能拼接桌单桌面尺寸：≥800mm，桌面厚度：≥24mm，对角直径尺寸≥2200mm，智能升降六边形设计；</w:t>
            </w:r>
          </w:p>
          <w:p w14:paraId="72F79222">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2.桌面材质：优选E1级环保材质，边缘切割处以聚氰胺贴纸板封边，安全不刮手；</w:t>
            </w:r>
          </w:p>
          <w:p w14:paraId="1EAE06E8">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3.造型设计：接缝平整、光洁，满足多人使用，简洁的造型颜色搭配，满足各类场地要求，桌面整体效果美观，配带智能机箱，主机机箱可放置机箱托上，桌面开孔走线设计，保证桌面清洁满足人工工程学设计；</w:t>
            </w:r>
          </w:p>
          <w:p w14:paraId="154BC322">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4.搭配“Y”字形支撑框架可移动式学生座椅，圆角设计，背部透气高弹网布，人体工程学S弧椅背，安全稳固；</w:t>
            </w:r>
          </w:p>
          <w:p w14:paraId="1689A275">
            <w:pPr>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5.五角轮扭脚座椅，座位可360°旋转，座背带腰垫；</w:t>
            </w:r>
          </w:p>
          <w:p w14:paraId="392A1156">
            <w:pPr>
              <w:spacing w:line="360" w:lineRule="auto"/>
              <w:jc w:val="left"/>
              <w:rPr>
                <w:rFonts w:hint="eastAsia" w:ascii="宋体" w:hAnsi="宋体"/>
                <w:szCs w:val="21"/>
              </w:rPr>
            </w:pPr>
            <w:r>
              <w:rPr>
                <w:rFonts w:hint="eastAsia" w:ascii="宋体" w:hAnsi="宋体" w:cs="宋体"/>
                <w:kern w:val="0"/>
                <w:szCs w:val="21"/>
              </w:rPr>
              <w:t>▲6.甲醛释放量：≤0.2mg/m³</w:t>
            </w:r>
            <w:r>
              <w:rPr>
                <w:rFonts w:hint="eastAsia" w:ascii="宋体" w:hAnsi="宋体" w:cs="宋体"/>
                <w:b/>
                <w:bCs/>
                <w:kern w:val="0"/>
                <w:szCs w:val="21"/>
              </w:rPr>
              <w:t>（需提供第三方有权机构出具的所投产品检验报告复印件并加盖投标人公章）</w:t>
            </w:r>
            <w:r>
              <w:rPr>
                <w:rFonts w:hint="eastAsia" w:ascii="宋体" w:hAnsi="宋体" w:cs="宋体"/>
                <w:kern w:val="0"/>
                <w:szCs w:val="21"/>
              </w:rPr>
              <w:t>；</w:t>
            </w:r>
          </w:p>
        </w:tc>
      </w:tr>
      <w:tr w14:paraId="649DE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625178BA">
            <w:pPr>
              <w:widowControl/>
              <w:spacing w:line="360" w:lineRule="auto"/>
              <w:jc w:val="center"/>
              <w:rPr>
                <w:rFonts w:hint="eastAsia" w:ascii="宋体" w:hAnsi="宋体" w:cs="Helvetica"/>
                <w:szCs w:val="21"/>
              </w:rPr>
            </w:pPr>
            <w:r>
              <w:rPr>
                <w:rFonts w:hint="eastAsia" w:ascii="宋体" w:hAnsi="宋体" w:cs="Helvetica"/>
                <w:szCs w:val="21"/>
              </w:rPr>
              <w:t>4</w:t>
            </w:r>
          </w:p>
        </w:tc>
        <w:tc>
          <w:tcPr>
            <w:tcW w:w="1559" w:type="dxa"/>
            <w:vAlign w:val="center"/>
          </w:tcPr>
          <w:p w14:paraId="6A9154EE">
            <w:pPr>
              <w:spacing w:line="360" w:lineRule="auto"/>
              <w:jc w:val="center"/>
              <w:rPr>
                <w:rFonts w:hint="eastAsia" w:ascii="宋体" w:hAnsi="宋体" w:cs="宋体"/>
                <w:szCs w:val="21"/>
              </w:rPr>
            </w:pPr>
            <w:r>
              <w:rPr>
                <w:rFonts w:hint="eastAsia"/>
                <w:szCs w:val="21"/>
              </w:rPr>
              <w:t>智慧虚拟仿真课程</w:t>
            </w:r>
          </w:p>
        </w:tc>
        <w:tc>
          <w:tcPr>
            <w:tcW w:w="6210" w:type="dxa"/>
            <w:vAlign w:val="center"/>
          </w:tcPr>
          <w:p w14:paraId="647414BC">
            <w:pPr>
              <w:wordWrap w:val="0"/>
              <w:spacing w:line="360" w:lineRule="auto"/>
              <w:jc w:val="left"/>
              <w:rPr>
                <w:rFonts w:hint="eastAsia" w:ascii="宋体" w:hAnsi="宋体" w:cs="宋体"/>
                <w:kern w:val="0"/>
                <w:szCs w:val="21"/>
                <w:u w:val="single"/>
              </w:rPr>
            </w:pPr>
            <w:r>
              <w:rPr>
                <w:rFonts w:hint="eastAsia" w:ascii="宋体" w:hAnsi="宋体" w:cs="宋体"/>
                <w:kern w:val="0"/>
                <w:szCs w:val="21"/>
              </w:rPr>
              <w:t>1、本系统是面向涉海公共艺术设计学科的虚拟实验课程，通过模拟真实器材与设备，再现接近真实的实验场景。</w:t>
            </w:r>
          </w:p>
          <w:p w14:paraId="544C6E2D">
            <w:pPr>
              <w:wordWrap w:val="0"/>
              <w:spacing w:line="360" w:lineRule="auto"/>
              <w:jc w:val="left"/>
              <w:rPr>
                <w:rFonts w:hint="eastAsia" w:ascii="宋体" w:hAnsi="宋体" w:cs="宋体"/>
                <w:kern w:val="0"/>
                <w:szCs w:val="21"/>
                <w:highlight w:val="yellow"/>
              </w:rPr>
            </w:pPr>
            <w:r>
              <w:rPr>
                <w:rFonts w:hint="eastAsia" w:ascii="宋体" w:hAnsi="宋体" w:cs="宋体"/>
                <w:kern w:val="0"/>
                <w:szCs w:val="21"/>
              </w:rPr>
              <w:t>2、支持VR沉浸式交互模式；</w:t>
            </w:r>
          </w:p>
          <w:p w14:paraId="132B942F">
            <w:pPr>
              <w:wordWrap w:val="0"/>
              <w:spacing w:line="360" w:lineRule="auto"/>
              <w:jc w:val="left"/>
              <w:rPr>
                <w:rFonts w:hint="eastAsia" w:ascii="宋体" w:hAnsi="宋体" w:cs="宋体"/>
                <w:kern w:val="0"/>
                <w:szCs w:val="21"/>
              </w:rPr>
            </w:pPr>
            <w:r>
              <w:rPr>
                <w:rFonts w:hint="eastAsia" w:ascii="宋体" w:hAnsi="宋体" w:cs="宋体"/>
                <w:kern w:val="0"/>
                <w:szCs w:val="21"/>
              </w:rPr>
              <w:t>3、系统提供操作帮助，包括实验须知、操作规则自动弹窗播放与查阅功能，展示实验整体任务与三大模块学习要求，描述实验如何开展；</w:t>
            </w:r>
          </w:p>
          <w:p w14:paraId="09E08EC4">
            <w:pPr>
              <w:wordWrap w:val="0"/>
              <w:spacing w:line="360" w:lineRule="auto"/>
              <w:jc w:val="left"/>
              <w:rPr>
                <w:rFonts w:hint="eastAsia" w:ascii="宋体" w:hAnsi="宋体" w:cs="宋体"/>
                <w:kern w:val="0"/>
                <w:szCs w:val="21"/>
              </w:rPr>
            </w:pPr>
            <w:r>
              <w:rPr>
                <w:rFonts w:hint="eastAsia" w:ascii="宋体" w:hAnsi="宋体" w:cs="宋体"/>
                <w:kern w:val="0"/>
                <w:szCs w:val="21"/>
              </w:rPr>
              <w:t>4、系统支持用户从任意视角、任意距离观察实验设备和实验现象；</w:t>
            </w:r>
          </w:p>
          <w:p w14:paraId="06D1B7D1">
            <w:pPr>
              <w:wordWrap w:val="0"/>
              <w:spacing w:line="360" w:lineRule="auto"/>
              <w:jc w:val="left"/>
              <w:rPr>
                <w:rFonts w:hint="eastAsia" w:ascii="宋体" w:hAnsi="宋体" w:cs="宋体"/>
                <w:kern w:val="0"/>
                <w:szCs w:val="21"/>
              </w:rPr>
            </w:pPr>
            <w:r>
              <w:rPr>
                <w:rFonts w:hint="eastAsia" w:ascii="宋体" w:hAnsi="宋体" w:cs="宋体"/>
                <w:kern w:val="0"/>
                <w:szCs w:val="21"/>
              </w:rPr>
              <w:t>5、系统画面效果精美，采用虚拟现实实时渲染处理，实验按照1：1制作指定场景，如试验现场、材料、试验设备和工具等；</w:t>
            </w:r>
          </w:p>
          <w:p w14:paraId="368592C3">
            <w:pPr>
              <w:spacing w:line="360" w:lineRule="auto"/>
              <w:jc w:val="left"/>
              <w:rPr>
                <w:rFonts w:hint="eastAsia" w:ascii="宋体" w:hAnsi="宋体" w:cs="宋体"/>
                <w:b/>
                <w:bCs/>
                <w:kern w:val="0"/>
                <w:szCs w:val="21"/>
              </w:rPr>
            </w:pPr>
            <w:r>
              <w:rPr>
                <w:rFonts w:hint="eastAsia" w:ascii="宋体" w:hAnsi="宋体" w:cs="宋体"/>
                <w:b/>
                <w:bCs/>
                <w:kern w:val="0"/>
                <w:szCs w:val="21"/>
              </w:rPr>
              <w:t>●6、系统提供公共艺术品展厅场景，支持用户在场景中自由行走漫游，支持查看小地图并一键跳转功能；（提供该功能视频演示）</w:t>
            </w:r>
          </w:p>
          <w:p w14:paraId="3D5C0168">
            <w:pPr>
              <w:wordWrap w:val="0"/>
              <w:spacing w:line="360" w:lineRule="auto"/>
              <w:jc w:val="left"/>
              <w:rPr>
                <w:rFonts w:hint="eastAsia" w:ascii="宋体" w:hAnsi="宋体" w:cs="宋体"/>
                <w:kern w:val="0"/>
                <w:szCs w:val="21"/>
              </w:rPr>
            </w:pPr>
            <w:r>
              <w:rPr>
                <w:rFonts w:hint="eastAsia" w:ascii="宋体" w:hAnsi="宋体" w:cs="宋体"/>
                <w:kern w:val="0"/>
                <w:szCs w:val="21"/>
              </w:rPr>
              <w:t>7、系统经过优化处理，确保实时运行帧数高于25帧/秒；</w:t>
            </w:r>
          </w:p>
          <w:p w14:paraId="0DAEBFF6">
            <w:pPr>
              <w:wordWrap w:val="0"/>
              <w:spacing w:line="360" w:lineRule="auto"/>
              <w:jc w:val="left"/>
              <w:rPr>
                <w:rFonts w:hint="eastAsia" w:ascii="宋体" w:hAnsi="宋体" w:cs="宋体"/>
                <w:kern w:val="0"/>
                <w:szCs w:val="21"/>
              </w:rPr>
            </w:pPr>
            <w:r>
              <w:rPr>
                <w:rFonts w:hint="eastAsia" w:ascii="宋体" w:hAnsi="宋体" w:cs="宋体"/>
                <w:kern w:val="0"/>
                <w:szCs w:val="21"/>
              </w:rPr>
              <w:t>8、系统包含三个模块：</w:t>
            </w:r>
          </w:p>
          <w:p w14:paraId="0406F74B">
            <w:pPr>
              <w:wordWrap w:val="0"/>
              <w:spacing w:line="360" w:lineRule="auto"/>
              <w:jc w:val="left"/>
              <w:rPr>
                <w:rFonts w:hint="eastAsia" w:ascii="宋体" w:hAnsi="宋体"/>
                <w:szCs w:val="21"/>
              </w:rPr>
            </w:pPr>
            <w:r>
              <w:rPr>
                <w:rFonts w:hint="eastAsia" w:ascii="宋体" w:hAnsi="宋体"/>
                <w:szCs w:val="21"/>
              </w:rPr>
              <w:t>公共艺术认知学习模块；</w:t>
            </w:r>
          </w:p>
          <w:p w14:paraId="1A49B132">
            <w:pPr>
              <w:wordWrap w:val="0"/>
              <w:spacing w:line="360" w:lineRule="auto"/>
              <w:jc w:val="left"/>
              <w:rPr>
                <w:rFonts w:hint="eastAsia" w:ascii="宋体" w:hAnsi="宋体"/>
                <w:szCs w:val="21"/>
              </w:rPr>
            </w:pPr>
            <w:r>
              <w:rPr>
                <w:rFonts w:hint="eastAsia" w:ascii="宋体" w:hAnsi="宋体"/>
                <w:szCs w:val="21"/>
              </w:rPr>
              <w:t>壁画的设计与创作模块；</w:t>
            </w:r>
          </w:p>
          <w:p w14:paraId="181F8071">
            <w:pPr>
              <w:wordWrap w:val="0"/>
              <w:spacing w:line="360" w:lineRule="auto"/>
              <w:jc w:val="left"/>
              <w:rPr>
                <w:rFonts w:hint="eastAsia" w:ascii="宋体" w:hAnsi="宋体"/>
                <w:szCs w:val="21"/>
              </w:rPr>
            </w:pPr>
            <w:r>
              <w:rPr>
                <w:rFonts w:hint="eastAsia" w:ascii="宋体" w:hAnsi="宋体"/>
                <w:szCs w:val="21"/>
              </w:rPr>
              <w:t>现代雕塑设计与创作模块；</w:t>
            </w:r>
          </w:p>
          <w:p w14:paraId="0B8F2826">
            <w:pPr>
              <w:wordWrap w:val="0"/>
              <w:spacing w:line="360" w:lineRule="auto"/>
              <w:jc w:val="left"/>
              <w:rPr>
                <w:rFonts w:hint="eastAsia" w:ascii="宋体" w:hAnsi="宋体"/>
                <w:szCs w:val="21"/>
              </w:rPr>
            </w:pPr>
            <w:r>
              <w:rPr>
                <w:rFonts w:hint="eastAsia" w:ascii="宋体" w:hAnsi="宋体"/>
                <w:szCs w:val="21"/>
              </w:rPr>
              <w:t>9、公共艺术认知学习模块，通过图文形式支持学习与掌握公共艺术概念、特征、发展现状，赏析各类经典公共艺术作品，提炼海洋文化设计元素，树立正确审美观念与职业素养；</w:t>
            </w:r>
          </w:p>
          <w:p w14:paraId="0E03FD05">
            <w:pPr>
              <w:spacing w:line="360" w:lineRule="auto"/>
              <w:jc w:val="left"/>
              <w:rPr>
                <w:rFonts w:hint="eastAsia" w:ascii="宋体" w:hAnsi="宋体"/>
                <w:szCs w:val="21"/>
              </w:rPr>
            </w:pPr>
            <w:r>
              <w:rPr>
                <w:rFonts w:hint="eastAsia" w:ascii="宋体" w:hAnsi="宋体" w:cs="宋体"/>
                <w:b/>
                <w:bCs/>
                <w:kern w:val="0"/>
                <w:szCs w:val="21"/>
              </w:rPr>
              <w:t>●</w:t>
            </w:r>
            <w:r>
              <w:rPr>
                <w:rFonts w:hint="eastAsia" w:ascii="宋体" w:hAnsi="宋体"/>
                <w:szCs w:val="21"/>
              </w:rPr>
              <w:t>10、</w:t>
            </w:r>
            <w:r>
              <w:rPr>
                <w:rFonts w:ascii="宋体" w:hAnsi="宋体"/>
                <w:szCs w:val="21"/>
              </w:rPr>
              <w:t>系统</w:t>
            </w:r>
            <w:r>
              <w:rPr>
                <w:rFonts w:hint="eastAsia" w:ascii="宋体" w:hAnsi="宋体"/>
                <w:szCs w:val="21"/>
              </w:rPr>
              <w:t>支持文化元素提取与运用，</w:t>
            </w:r>
            <w:r>
              <w:rPr>
                <w:rFonts w:ascii="宋体" w:hAnsi="宋体"/>
                <w:szCs w:val="21"/>
              </w:rPr>
              <w:t>提供纸袋、纸盒、抱枕、包、饮料瓶、服饰、手机壳等不少于其中3种产品模型，支持用户任意选择一款模型，选择</w:t>
            </w:r>
            <w:r>
              <w:rPr>
                <w:rFonts w:hint="eastAsia" w:ascii="宋体" w:hAnsi="宋体"/>
                <w:szCs w:val="21"/>
              </w:rPr>
              <w:t>元素</w:t>
            </w:r>
            <w:r>
              <w:rPr>
                <w:rFonts w:ascii="宋体" w:hAnsi="宋体"/>
                <w:szCs w:val="21"/>
              </w:rPr>
              <w:t>布置在产品模型上，并进行缩放、旋转功能调节，实时预览产品视觉效果；</w:t>
            </w:r>
            <w:r>
              <w:rPr>
                <w:rFonts w:hint="eastAsia" w:ascii="宋体" w:hAnsi="宋体" w:cs="宋体"/>
                <w:b/>
                <w:bCs/>
                <w:kern w:val="0"/>
                <w:szCs w:val="21"/>
              </w:rPr>
              <w:t>（提供该功能视频演示）</w:t>
            </w:r>
          </w:p>
          <w:p w14:paraId="4A0E59AB">
            <w:pPr>
              <w:wordWrap w:val="0"/>
              <w:spacing w:line="360" w:lineRule="auto"/>
              <w:jc w:val="left"/>
              <w:rPr>
                <w:rFonts w:hint="eastAsia" w:ascii="宋体" w:hAnsi="宋体"/>
                <w:szCs w:val="21"/>
              </w:rPr>
            </w:pPr>
            <w:r>
              <w:rPr>
                <w:rFonts w:hint="eastAsia" w:ascii="宋体" w:hAnsi="宋体" w:cs="宋体"/>
                <w:b/>
                <w:bCs/>
                <w:kern w:val="0"/>
                <w:szCs w:val="21"/>
              </w:rPr>
              <w:t>▲</w:t>
            </w:r>
            <w:r>
              <w:rPr>
                <w:rFonts w:hint="eastAsia" w:ascii="宋体" w:hAnsi="宋体"/>
                <w:b/>
                <w:bCs/>
                <w:szCs w:val="21"/>
              </w:rPr>
              <w:t>1</w:t>
            </w:r>
            <w:r>
              <w:rPr>
                <w:rFonts w:hint="eastAsia" w:ascii="宋体" w:hAnsi="宋体"/>
                <w:szCs w:val="21"/>
              </w:rPr>
              <w:t>1、对经典艺术作品的展示，包括《夜晚露天咖啡座》、《星月夜》等艺术作品；</w:t>
            </w:r>
            <w:r>
              <w:rPr>
                <w:rFonts w:hint="eastAsia" w:ascii="宋体" w:hAnsi="宋体" w:cs="宋体"/>
                <w:b/>
                <w:bCs/>
                <w:kern w:val="0"/>
                <w:szCs w:val="21"/>
              </w:rPr>
              <w:t>（提供软件功能截图并加盖投标人公章）</w:t>
            </w:r>
          </w:p>
          <w:p w14:paraId="2392DF72">
            <w:pPr>
              <w:wordWrap w:val="0"/>
              <w:spacing w:line="360" w:lineRule="auto"/>
              <w:jc w:val="left"/>
              <w:rPr>
                <w:rFonts w:hint="eastAsia" w:ascii="宋体" w:hAnsi="宋体"/>
                <w:szCs w:val="21"/>
                <w:highlight w:val="yellow"/>
              </w:rPr>
            </w:pPr>
            <w:r>
              <w:rPr>
                <w:rFonts w:hint="eastAsia" w:ascii="宋体" w:hAnsi="宋体"/>
                <w:szCs w:val="21"/>
              </w:rPr>
              <w:t>12、系统支持AI功能进行互动，对公共艺术作品及案例、创作方法等内容进行互动解答；</w:t>
            </w:r>
          </w:p>
          <w:p w14:paraId="5492E896">
            <w:pPr>
              <w:wordWrap w:val="0"/>
              <w:spacing w:line="360" w:lineRule="auto"/>
              <w:jc w:val="left"/>
              <w:rPr>
                <w:rFonts w:hint="eastAsia" w:ascii="宋体" w:hAnsi="宋体" w:cs="宋体"/>
                <w:b/>
                <w:bCs/>
                <w:kern w:val="0"/>
                <w:szCs w:val="21"/>
              </w:rPr>
            </w:pPr>
            <w:r>
              <w:rPr>
                <w:rFonts w:hint="eastAsia" w:ascii="宋体" w:hAnsi="宋体" w:cs="宋体"/>
                <w:b/>
                <w:bCs/>
                <w:kern w:val="0"/>
                <w:szCs w:val="21"/>
              </w:rPr>
              <w:t>▲</w:t>
            </w:r>
            <w:r>
              <w:rPr>
                <w:rFonts w:hint="eastAsia" w:ascii="宋体" w:hAnsi="宋体"/>
                <w:szCs w:val="21"/>
              </w:rPr>
              <w:t>13、构图设计以图文方式对影视作品、艺术作品构图进行解析介绍；</w:t>
            </w:r>
            <w:r>
              <w:rPr>
                <w:rFonts w:hint="eastAsia" w:ascii="宋体" w:hAnsi="宋体" w:cs="宋体"/>
                <w:b/>
                <w:bCs/>
                <w:kern w:val="0"/>
                <w:szCs w:val="21"/>
              </w:rPr>
              <w:t>（提供软件功能截图并加盖投标人公章）</w:t>
            </w:r>
          </w:p>
          <w:p w14:paraId="22F1A9F8">
            <w:pPr>
              <w:wordWrap w:val="0"/>
              <w:spacing w:line="360" w:lineRule="auto"/>
              <w:jc w:val="left"/>
              <w:rPr>
                <w:rFonts w:hint="eastAsia" w:ascii="宋体" w:hAnsi="宋体"/>
                <w:szCs w:val="21"/>
              </w:rPr>
            </w:pPr>
            <w:r>
              <w:rPr>
                <w:rFonts w:hint="eastAsia" w:ascii="宋体" w:hAnsi="宋体"/>
                <w:szCs w:val="21"/>
              </w:rPr>
              <w:t>14、对平面壁画和浅浮雕内容，从构图设计手法、主题设计手法等角度结合不同公共空间讲解构图适配技巧；</w:t>
            </w:r>
          </w:p>
          <w:p w14:paraId="2C126304">
            <w:pPr>
              <w:wordWrap w:val="0"/>
              <w:spacing w:line="360" w:lineRule="auto"/>
              <w:jc w:val="left"/>
              <w:rPr>
                <w:rFonts w:hint="eastAsia" w:ascii="宋体" w:hAnsi="宋体"/>
                <w:szCs w:val="21"/>
              </w:rPr>
            </w:pPr>
            <w:r>
              <w:rPr>
                <w:rFonts w:hint="eastAsia" w:ascii="宋体" w:hAnsi="宋体"/>
                <w:szCs w:val="21"/>
              </w:rPr>
              <w:t>15、通过对经典案例的解析与流程演示，完成壁画的设计与创作演示与体验；</w:t>
            </w:r>
          </w:p>
          <w:p w14:paraId="586D54B6">
            <w:pPr>
              <w:wordWrap w:val="0"/>
              <w:spacing w:line="360" w:lineRule="auto"/>
              <w:jc w:val="left"/>
              <w:rPr>
                <w:rFonts w:hint="eastAsia" w:ascii="宋体" w:hAnsi="宋体"/>
                <w:szCs w:val="21"/>
              </w:rPr>
            </w:pPr>
            <w:r>
              <w:rPr>
                <w:rFonts w:hint="eastAsia" w:ascii="宋体" w:hAnsi="宋体" w:cs="宋体"/>
                <w:b/>
                <w:bCs/>
                <w:kern w:val="0"/>
                <w:szCs w:val="21"/>
              </w:rPr>
              <w:t>▲</w:t>
            </w:r>
            <w:r>
              <w:rPr>
                <w:rFonts w:hint="eastAsia" w:ascii="宋体" w:hAnsi="宋体"/>
                <w:szCs w:val="21"/>
              </w:rPr>
              <w:t>16、系统提供不少于三种不同的空间场景，并且支持</w:t>
            </w:r>
            <w:r>
              <w:rPr>
                <w:rFonts w:ascii="宋体" w:hAnsi="宋体"/>
                <w:szCs w:val="21"/>
              </w:rPr>
              <w:t>选取指定空间</w:t>
            </w:r>
            <w:r>
              <w:rPr>
                <w:rFonts w:hint="eastAsia" w:ascii="宋体" w:hAnsi="宋体"/>
                <w:szCs w:val="21"/>
              </w:rPr>
              <w:t>进入进行设计；</w:t>
            </w:r>
            <w:r>
              <w:rPr>
                <w:rFonts w:hint="eastAsia" w:ascii="宋体" w:hAnsi="宋体" w:cs="宋体"/>
                <w:b/>
                <w:bCs/>
                <w:kern w:val="0"/>
                <w:szCs w:val="21"/>
              </w:rPr>
              <w:t>（提供软件功能截图并加盖投标人公章）</w:t>
            </w:r>
            <w:r>
              <w:rPr>
                <w:rFonts w:ascii="宋体" w:hAnsi="宋体"/>
                <w:szCs w:val="21"/>
              </w:rPr>
              <w:t>​</w:t>
            </w:r>
          </w:p>
          <w:p w14:paraId="7557B629">
            <w:pPr>
              <w:wordWrap w:val="0"/>
              <w:spacing w:line="360" w:lineRule="auto"/>
              <w:jc w:val="left"/>
              <w:rPr>
                <w:rFonts w:hint="eastAsia" w:ascii="宋体" w:hAnsi="宋体" w:cs="宋体"/>
                <w:b/>
                <w:bCs/>
                <w:kern w:val="0"/>
                <w:szCs w:val="21"/>
              </w:rPr>
            </w:pPr>
            <w:r>
              <w:rPr>
                <w:rFonts w:hint="eastAsia" w:ascii="宋体" w:hAnsi="宋体" w:cs="宋体"/>
                <w:b/>
                <w:bCs/>
                <w:kern w:val="0"/>
                <w:szCs w:val="21"/>
              </w:rPr>
              <w:t>▲</w:t>
            </w:r>
            <w:r>
              <w:rPr>
                <w:rFonts w:hint="eastAsia" w:ascii="宋体" w:hAnsi="宋体"/>
                <w:szCs w:val="21"/>
              </w:rPr>
              <w:t>17、系统支持对公共空间更换墙面和地面材质，包括不限于5种材质；</w:t>
            </w:r>
            <w:r>
              <w:rPr>
                <w:rFonts w:hint="eastAsia" w:ascii="宋体" w:hAnsi="宋体" w:cs="宋体"/>
                <w:b/>
                <w:bCs/>
                <w:kern w:val="0"/>
                <w:szCs w:val="21"/>
              </w:rPr>
              <w:t>（提供软件功能截图并加盖投标人公章）</w:t>
            </w:r>
          </w:p>
          <w:p w14:paraId="40F44040">
            <w:pPr>
              <w:wordWrap w:val="0"/>
              <w:spacing w:line="360" w:lineRule="auto"/>
              <w:jc w:val="left"/>
              <w:rPr>
                <w:rFonts w:hint="eastAsia" w:ascii="宋体" w:hAnsi="宋体"/>
                <w:szCs w:val="21"/>
              </w:rPr>
            </w:pPr>
            <w:r>
              <w:rPr>
                <w:rFonts w:hint="eastAsia" w:ascii="宋体" w:hAnsi="宋体"/>
                <w:szCs w:val="21"/>
              </w:rPr>
              <w:t>18、系统支持</w:t>
            </w:r>
            <w:r>
              <w:rPr>
                <w:rFonts w:ascii="宋体" w:hAnsi="宋体"/>
                <w:szCs w:val="21"/>
              </w:rPr>
              <w:t>通过虚拟绘图工具完成线稿草图，</w:t>
            </w:r>
            <w:r>
              <w:rPr>
                <w:rFonts w:hint="eastAsia" w:ascii="宋体" w:hAnsi="宋体"/>
                <w:szCs w:val="21"/>
              </w:rPr>
              <w:t>根据</w:t>
            </w:r>
            <w:r>
              <w:rPr>
                <w:rFonts w:ascii="宋体" w:hAnsi="宋体"/>
                <w:szCs w:val="21"/>
              </w:rPr>
              <w:t>所学构图手法调整画面布局，根据空间环境选择配色方案，分层上色</w:t>
            </w:r>
            <w:r>
              <w:rPr>
                <w:rFonts w:hint="eastAsia" w:ascii="宋体" w:hAnsi="宋体"/>
                <w:szCs w:val="21"/>
              </w:rPr>
              <w:t>；同时</w:t>
            </w:r>
            <w:r>
              <w:rPr>
                <w:rFonts w:ascii="宋体" w:hAnsi="宋体"/>
                <w:szCs w:val="21"/>
              </w:rPr>
              <w:t>为壁画匹配对应材质，调整</w:t>
            </w:r>
            <w:r>
              <w:rPr>
                <w:rFonts w:hint="eastAsia" w:ascii="宋体" w:hAnsi="宋体"/>
                <w:szCs w:val="21"/>
              </w:rPr>
              <w:t>材质、</w:t>
            </w:r>
            <w:r>
              <w:rPr>
                <w:rFonts w:ascii="宋体" w:hAnsi="宋体"/>
                <w:szCs w:val="21"/>
              </w:rPr>
              <w:t>添加肌理、光影细节，</w:t>
            </w:r>
            <w:r>
              <w:rPr>
                <w:rFonts w:hint="eastAsia" w:ascii="宋体" w:hAnsi="宋体"/>
                <w:szCs w:val="21"/>
              </w:rPr>
              <w:t>添加环境光并支持调节参数搭配氛围，</w:t>
            </w:r>
            <w:r>
              <w:rPr>
                <w:rFonts w:ascii="宋体" w:hAnsi="宋体"/>
                <w:szCs w:val="21"/>
              </w:rPr>
              <w:t>优化画面质感</w:t>
            </w:r>
            <w:r>
              <w:rPr>
                <w:rFonts w:hint="eastAsia" w:ascii="宋体" w:hAnsi="宋体"/>
                <w:szCs w:val="21"/>
              </w:rPr>
              <w:t>，</w:t>
            </w:r>
            <w:r>
              <w:rPr>
                <w:rFonts w:ascii="宋体" w:hAnsi="宋体"/>
                <w:szCs w:val="21"/>
              </w:rPr>
              <w:t>预览壁画在真实公共空间的落地效果</w:t>
            </w:r>
            <w:r>
              <w:rPr>
                <w:rFonts w:hint="eastAsia" w:ascii="宋体" w:hAnsi="宋体"/>
                <w:szCs w:val="21"/>
              </w:rPr>
              <w:t>；</w:t>
            </w:r>
          </w:p>
          <w:p w14:paraId="7551ACBE">
            <w:pPr>
              <w:wordWrap w:val="0"/>
              <w:spacing w:line="360" w:lineRule="auto"/>
              <w:jc w:val="left"/>
              <w:rPr>
                <w:rFonts w:hint="eastAsia" w:ascii="宋体" w:hAnsi="宋体"/>
                <w:b/>
                <w:bCs/>
                <w:szCs w:val="21"/>
              </w:rPr>
            </w:pPr>
            <w:r>
              <w:rPr>
                <w:rFonts w:hint="eastAsia" w:ascii="宋体" w:hAnsi="宋体" w:cs="宋体"/>
                <w:b/>
                <w:bCs/>
                <w:kern w:val="0"/>
                <w:szCs w:val="21"/>
              </w:rPr>
              <w:t>●</w:t>
            </w:r>
            <w:r>
              <w:rPr>
                <w:rFonts w:hint="eastAsia" w:ascii="宋体" w:hAnsi="宋体" w:cs="宋体"/>
                <w:kern w:val="0"/>
                <w:szCs w:val="21"/>
              </w:rPr>
              <w:t>19</w:t>
            </w:r>
            <w:r>
              <w:rPr>
                <w:rFonts w:hint="eastAsia" w:ascii="宋体" w:hAnsi="宋体"/>
                <w:szCs w:val="21"/>
              </w:rPr>
              <w:t>、系统支持用户模拟使用单反相机对展示场景进行拍摄，并通过调整光圈、快门、感光度等参数改变拍摄效果；</w:t>
            </w:r>
            <w:r>
              <w:rPr>
                <w:rFonts w:hint="eastAsia" w:ascii="宋体" w:hAnsi="宋体" w:cs="宋体"/>
                <w:b/>
                <w:bCs/>
                <w:kern w:val="0"/>
                <w:szCs w:val="21"/>
              </w:rPr>
              <w:t>（提供该功能视频演示）</w:t>
            </w:r>
          </w:p>
          <w:p w14:paraId="595CD887">
            <w:pPr>
              <w:wordWrap w:val="0"/>
              <w:spacing w:line="360" w:lineRule="auto"/>
              <w:jc w:val="left"/>
              <w:rPr>
                <w:rFonts w:hint="eastAsia" w:ascii="宋体" w:hAnsi="宋体"/>
                <w:szCs w:val="21"/>
              </w:rPr>
            </w:pPr>
            <w:r>
              <w:rPr>
                <w:rFonts w:hint="eastAsia" w:ascii="宋体" w:hAnsi="宋体"/>
                <w:szCs w:val="21"/>
              </w:rPr>
              <w:t>20、现代雕塑设计与创作模块以图文、视频方式进行创作知识介绍；讲解现代雕塑设计中的形态提炼手法、空间造型手法、比例尺度手法、材质光影手法、文化隐喻手法等创作手法；</w:t>
            </w:r>
          </w:p>
          <w:p w14:paraId="59EB9546">
            <w:pPr>
              <w:wordWrap w:val="0"/>
              <w:spacing w:line="360" w:lineRule="auto"/>
              <w:jc w:val="left"/>
              <w:rPr>
                <w:rFonts w:hint="eastAsia" w:ascii="宋体" w:hAnsi="宋体"/>
                <w:szCs w:val="21"/>
              </w:rPr>
            </w:pPr>
            <w:r>
              <w:rPr>
                <w:rFonts w:hint="eastAsia" w:ascii="宋体" w:hAnsi="宋体"/>
                <w:szCs w:val="21"/>
              </w:rPr>
              <w:t>21、通过对经典案例的解析与流程演示，完成现代雕塑设计与创作演示与体验；</w:t>
            </w:r>
          </w:p>
          <w:p w14:paraId="3DCA7D4A">
            <w:pPr>
              <w:wordWrap w:val="0"/>
              <w:spacing w:line="360" w:lineRule="auto"/>
              <w:jc w:val="left"/>
              <w:rPr>
                <w:rFonts w:hint="eastAsia" w:ascii="宋体" w:hAnsi="宋体"/>
                <w:szCs w:val="21"/>
              </w:rPr>
            </w:pPr>
            <w:r>
              <w:rPr>
                <w:rFonts w:hint="eastAsia" w:ascii="宋体" w:hAnsi="宋体"/>
                <w:szCs w:val="21"/>
              </w:rPr>
              <w:t>22、根据主题分析选取</w:t>
            </w:r>
            <w:r>
              <w:rPr>
                <w:rFonts w:ascii="宋体" w:hAnsi="宋体"/>
                <w:szCs w:val="21"/>
              </w:rPr>
              <w:t>公共场地，</w:t>
            </w:r>
            <w:r>
              <w:rPr>
                <w:rFonts w:hint="eastAsia" w:ascii="宋体" w:hAnsi="宋体"/>
                <w:szCs w:val="21"/>
              </w:rPr>
              <w:t>包括校园空间、展厅空间、商业空间、博物馆空间、公园景观空间等，</w:t>
            </w:r>
            <w:r>
              <w:rPr>
                <w:rFonts w:ascii="宋体" w:hAnsi="宋体"/>
                <w:szCs w:val="21"/>
              </w:rPr>
              <w:t>结合场地氛围确定雕塑设计主题与风格</w:t>
            </w:r>
            <w:r>
              <w:rPr>
                <w:rFonts w:hint="eastAsia" w:ascii="宋体" w:hAnsi="宋体"/>
                <w:szCs w:val="21"/>
              </w:rPr>
              <w:t>；</w:t>
            </w:r>
          </w:p>
          <w:p w14:paraId="1C355813">
            <w:pPr>
              <w:wordWrap w:val="0"/>
              <w:spacing w:line="360" w:lineRule="auto"/>
              <w:jc w:val="left"/>
              <w:rPr>
                <w:rFonts w:hint="eastAsia" w:ascii="宋体" w:hAnsi="宋体"/>
                <w:szCs w:val="21"/>
              </w:rPr>
            </w:pPr>
            <w:r>
              <w:rPr>
                <w:rFonts w:hint="eastAsia" w:ascii="宋体" w:hAnsi="宋体"/>
                <w:szCs w:val="21"/>
              </w:rPr>
              <w:t>23、</w:t>
            </w:r>
            <w:r>
              <w:rPr>
                <w:rFonts w:ascii="宋体" w:hAnsi="宋体"/>
                <w:szCs w:val="21"/>
              </w:rPr>
              <w:t>绘制雕塑二维草图，确定整体造型框架</w:t>
            </w:r>
            <w:r>
              <w:rPr>
                <w:rFonts w:hint="eastAsia" w:ascii="宋体" w:hAnsi="宋体"/>
                <w:szCs w:val="21"/>
              </w:rPr>
              <w:t xml:space="preserve">，将二维草图转化为三维立体模型； </w:t>
            </w:r>
          </w:p>
          <w:p w14:paraId="4580A2B9">
            <w:pPr>
              <w:wordWrap w:val="0"/>
              <w:spacing w:line="360" w:lineRule="auto"/>
              <w:jc w:val="left"/>
              <w:rPr>
                <w:rFonts w:hint="eastAsia" w:ascii="宋体" w:hAnsi="宋体"/>
                <w:szCs w:val="21"/>
              </w:rPr>
            </w:pPr>
            <w:r>
              <w:rPr>
                <w:rFonts w:hint="eastAsia" w:ascii="宋体" w:hAnsi="宋体"/>
                <w:szCs w:val="21"/>
              </w:rPr>
              <w:t>24、</w:t>
            </w:r>
            <w:r>
              <w:rPr>
                <w:rFonts w:ascii="宋体" w:hAnsi="宋体"/>
                <w:szCs w:val="21"/>
              </w:rPr>
              <w:t>结合公共空间尺度，调整雕塑整体尺寸、局部比例，优化结构稳定性与视觉平衡感</w:t>
            </w:r>
          </w:p>
          <w:p w14:paraId="72EF7A88">
            <w:pPr>
              <w:wordWrap w:val="0"/>
              <w:spacing w:line="360" w:lineRule="auto"/>
              <w:jc w:val="left"/>
              <w:rPr>
                <w:rFonts w:hint="eastAsia" w:ascii="宋体" w:hAnsi="宋体"/>
                <w:b/>
                <w:bCs/>
                <w:szCs w:val="21"/>
              </w:rPr>
            </w:pPr>
            <w:r>
              <w:rPr>
                <w:rFonts w:hint="eastAsia" w:ascii="宋体" w:hAnsi="宋体"/>
                <w:szCs w:val="21"/>
              </w:rPr>
              <w:t>25、</w:t>
            </w:r>
            <w:r>
              <w:rPr>
                <w:rFonts w:ascii="宋体" w:hAnsi="宋体"/>
                <w:szCs w:val="21"/>
              </w:rPr>
              <w:t>将雕塑置入虚拟公共场景，</w:t>
            </w:r>
            <w:r>
              <w:rPr>
                <w:rFonts w:hint="eastAsia" w:ascii="宋体" w:hAnsi="宋体"/>
                <w:szCs w:val="21"/>
              </w:rPr>
              <w:t>支持对场景调节时间、</w:t>
            </w:r>
            <w:r>
              <w:rPr>
                <w:rFonts w:ascii="宋体" w:hAnsi="宋体"/>
                <w:szCs w:val="21"/>
              </w:rPr>
              <w:t>模拟自然光、</w:t>
            </w:r>
            <w:r>
              <w:rPr>
                <w:rFonts w:hint="eastAsia" w:ascii="宋体" w:hAnsi="宋体"/>
                <w:szCs w:val="21"/>
              </w:rPr>
              <w:t>调节灯光参数以达到</w:t>
            </w:r>
            <w:r>
              <w:rPr>
                <w:rFonts w:ascii="宋体" w:hAnsi="宋体"/>
                <w:szCs w:val="21"/>
              </w:rPr>
              <w:t>环境光影效果，预览整体适配效果，微调造型与细节</w:t>
            </w:r>
            <w:r>
              <w:rPr>
                <w:rFonts w:hint="eastAsia" w:ascii="宋体" w:hAnsi="宋体"/>
                <w:szCs w:val="21"/>
              </w:rPr>
              <w:t>；</w:t>
            </w:r>
          </w:p>
          <w:p w14:paraId="683C9FC0">
            <w:pPr>
              <w:wordWrap w:val="0"/>
              <w:spacing w:line="360" w:lineRule="auto"/>
              <w:jc w:val="left"/>
              <w:rPr>
                <w:rFonts w:hint="eastAsia" w:ascii="宋体" w:hAnsi="宋体" w:cs="宋体"/>
                <w:b/>
                <w:bCs/>
                <w:kern w:val="0"/>
                <w:szCs w:val="21"/>
              </w:rPr>
            </w:pPr>
            <w:r>
              <w:rPr>
                <w:rFonts w:hint="eastAsia" w:ascii="宋体" w:hAnsi="宋体" w:cs="宋体"/>
                <w:b/>
                <w:bCs/>
                <w:kern w:val="0"/>
                <w:szCs w:val="21"/>
              </w:rPr>
              <w:t>▲</w:t>
            </w:r>
            <w:r>
              <w:rPr>
                <w:rFonts w:hint="eastAsia" w:ascii="宋体" w:hAnsi="宋体"/>
                <w:szCs w:val="21"/>
              </w:rPr>
              <w:t>26</w:t>
            </w:r>
            <w:r>
              <w:rPr>
                <w:rFonts w:hint="eastAsia" w:ascii="宋体" w:hAnsi="宋体" w:cs="宋体"/>
                <w:kern w:val="0"/>
                <w:szCs w:val="21"/>
              </w:rPr>
              <w:t>、</w:t>
            </w:r>
            <w:r>
              <w:rPr>
                <w:rFonts w:hint="eastAsia" w:ascii="宋体" w:hAnsi="宋体"/>
                <w:szCs w:val="21"/>
              </w:rPr>
              <w:t>支持对公共场景进行编辑修改，搭配场景氛围放置展柜、灯光、植物、装饰物等不少于四种类型道具。</w:t>
            </w:r>
            <w:r>
              <w:rPr>
                <w:rFonts w:hint="eastAsia" w:ascii="宋体" w:hAnsi="宋体" w:cs="宋体"/>
                <w:b/>
                <w:bCs/>
                <w:kern w:val="0"/>
                <w:szCs w:val="21"/>
              </w:rPr>
              <w:t>（提供软件功能截图并加盖投标人公章）</w:t>
            </w:r>
          </w:p>
          <w:p w14:paraId="78C97BC3">
            <w:pPr>
              <w:wordWrap w:val="0"/>
              <w:spacing w:line="360" w:lineRule="auto"/>
              <w:jc w:val="left"/>
              <w:rPr>
                <w:rFonts w:hint="eastAsia" w:ascii="宋体" w:hAnsi="宋体" w:cs="宋体"/>
                <w:kern w:val="0"/>
                <w:szCs w:val="21"/>
              </w:rPr>
            </w:pPr>
            <w:r>
              <w:rPr>
                <w:rFonts w:hint="eastAsia" w:ascii="宋体" w:hAnsi="宋体" w:cs="宋体"/>
                <w:b/>
                <w:bCs/>
                <w:kern w:val="0"/>
                <w:szCs w:val="21"/>
              </w:rPr>
              <w:t>●</w:t>
            </w:r>
            <w:r>
              <w:rPr>
                <w:rFonts w:hint="eastAsia" w:ascii="宋体" w:hAnsi="宋体"/>
                <w:szCs w:val="21"/>
              </w:rPr>
              <w:t>27</w:t>
            </w:r>
            <w:r>
              <w:rPr>
                <w:rFonts w:hint="eastAsia" w:ascii="宋体" w:hAnsi="宋体" w:cs="宋体"/>
                <w:kern w:val="0"/>
                <w:szCs w:val="21"/>
              </w:rPr>
              <w:t>、系统支持</w:t>
            </w:r>
            <w:r>
              <w:rPr>
                <w:rFonts w:ascii="宋体" w:hAnsi="宋体" w:cs="宋体"/>
                <w:kern w:val="0"/>
                <w:szCs w:val="21"/>
              </w:rPr>
              <w:t>选择灯光时至少可调节灯光角度、亮度、颜色等不少于两种参数。</w:t>
            </w:r>
            <w:r>
              <w:rPr>
                <w:rFonts w:hint="eastAsia" w:ascii="宋体" w:hAnsi="宋体" w:cs="宋体"/>
                <w:b/>
                <w:bCs/>
                <w:kern w:val="0"/>
                <w:szCs w:val="21"/>
              </w:rPr>
              <w:t>（提供该功能视频演示）</w:t>
            </w:r>
          </w:p>
        </w:tc>
      </w:tr>
    </w:tbl>
    <w:p w14:paraId="17D06BD9">
      <w:pPr>
        <w:spacing w:line="300" w:lineRule="auto"/>
        <w:ind w:firstLine="420" w:firstLineChars="200"/>
        <w:rPr>
          <w:rFonts w:hint="eastAsia" w:ascii="宋体" w:hAnsi="宋体"/>
          <w:color w:val="000000"/>
          <w:szCs w:val="21"/>
        </w:rPr>
      </w:pPr>
    </w:p>
    <w:p w14:paraId="31C6246C">
      <w:pPr>
        <w:spacing w:line="300" w:lineRule="auto"/>
        <w:ind w:firstLine="480" w:firstLineChars="200"/>
        <w:rPr>
          <w:rFonts w:hint="eastAsia" w:ascii="宋体" w:hAnsi="宋体"/>
          <w:color w:val="000000"/>
          <w:sz w:val="24"/>
        </w:rPr>
      </w:pPr>
      <w:r>
        <w:rPr>
          <w:rFonts w:hint="eastAsia" w:ascii="宋体" w:hAnsi="宋体"/>
          <w:sz w:val="24"/>
        </w:rPr>
        <w:t>★</w:t>
      </w:r>
      <w:r>
        <w:rPr>
          <w:rFonts w:hint="eastAsia" w:ascii="宋体" w:hAnsi="宋体"/>
          <w:color w:val="000000"/>
          <w:sz w:val="24"/>
        </w:rPr>
        <w:t>四、商务要求</w:t>
      </w:r>
    </w:p>
    <w:tbl>
      <w:tblPr>
        <w:tblStyle w:val="2"/>
        <w:tblpPr w:leftFromText="180" w:rightFromText="180" w:vertAnchor="text" w:horzAnchor="page" w:tblpX="2277" w:tblpY="166"/>
        <w:tblOverlap w:val="never"/>
        <w:tblW w:w="852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6457"/>
      </w:tblGrid>
      <w:tr w14:paraId="3C893BA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9700CBE">
            <w:pPr>
              <w:shd w:val="solid" w:color="FFFFFF" w:fill="auto"/>
              <w:autoSpaceDN w:val="0"/>
              <w:snapToGrid w:val="0"/>
              <w:spacing w:line="360" w:lineRule="auto"/>
              <w:jc w:val="center"/>
              <w:rPr>
                <w:rFonts w:hint="eastAsia" w:ascii="宋体" w:hAnsi="宋体"/>
                <w:color w:val="000000"/>
                <w:szCs w:val="21"/>
                <w:shd w:val="clear" w:color="auto" w:fill="FFFFFF"/>
              </w:rPr>
            </w:pPr>
            <w:r>
              <w:rPr>
                <w:rFonts w:ascii="宋体" w:hAnsi="宋体"/>
                <w:color w:val="000000"/>
                <w:szCs w:val="21"/>
                <w:shd w:val="clear" w:color="auto" w:fill="FFFFFF"/>
              </w:rPr>
              <w:t>质保期</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AA58FC4">
            <w:pPr>
              <w:shd w:val="solid" w:color="FFFFFF" w:fill="auto"/>
              <w:autoSpaceDN w:val="0"/>
              <w:snapToGrid w:val="0"/>
              <w:spacing w:line="360" w:lineRule="auto"/>
              <w:rPr>
                <w:rFonts w:hint="eastAsia"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w:t>自项目验收合格之日</w:t>
            </w:r>
            <w:r>
              <w:rPr>
                <w:rFonts w:hint="eastAsia"/>
                <w:color w:val="000000"/>
                <w:szCs w:val="21"/>
              </w:rPr>
              <w:t>起计1年</w:t>
            </w:r>
            <w:r>
              <w:rPr>
                <w:rFonts w:asciiTheme="minorEastAsia" w:hAnsiTheme="minorEastAsia"/>
                <w:color w:val="000000" w:themeColor="text1"/>
                <w:szCs w:val="21"/>
                <w14:textFill>
                  <w14:solidFill>
                    <w14:schemeClr w14:val="tx1"/>
                  </w14:solidFill>
                </w14:textFill>
              </w:rPr>
              <w:t>。</w:t>
            </w:r>
          </w:p>
        </w:tc>
      </w:tr>
      <w:tr w14:paraId="31EABD6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7C158D7">
            <w:pPr>
              <w:shd w:val="solid" w:color="FFFFFF" w:fill="auto"/>
              <w:autoSpaceDN w:val="0"/>
              <w:snapToGrid w:val="0"/>
              <w:spacing w:line="360" w:lineRule="auto"/>
              <w:jc w:val="center"/>
              <w:rPr>
                <w:rFonts w:hint="eastAsia" w:ascii="宋体" w:hAnsi="宋体"/>
                <w:color w:val="000000"/>
                <w:szCs w:val="21"/>
                <w:shd w:val="clear" w:color="auto" w:fill="FFFFFF"/>
              </w:rPr>
            </w:pPr>
            <w:r>
              <w:rPr>
                <w:rFonts w:ascii="宋体" w:hAnsi="宋体"/>
                <w:color w:val="000000"/>
                <w:szCs w:val="21"/>
                <w:shd w:val="clear" w:color="auto" w:fill="FFFFFF"/>
              </w:rPr>
              <w:t>售后技术服务要求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4F7A29A3">
            <w:pPr>
              <w:shd w:val="solid" w:color="FFFFFF" w:fill="auto"/>
              <w:autoSpaceDN w:val="0"/>
              <w:snapToGrid w:val="0"/>
              <w:spacing w:line="360" w:lineRule="auto"/>
              <w:jc w:val="left"/>
              <w:rPr>
                <w:rFonts w:hint="eastAsia" w:ascii="宋体" w:hAnsi="宋体"/>
                <w:color w:val="FF0000"/>
                <w:szCs w:val="21"/>
                <w:shd w:val="clear" w:color="auto" w:fill="FFFFFF"/>
              </w:rPr>
            </w:pPr>
            <w:r>
              <w:rPr>
                <w:rFonts w:ascii="宋体" w:hAnsi="宋体"/>
                <w:color w:val="FF0000"/>
                <w:szCs w:val="21"/>
                <w:shd w:val="clear" w:color="auto" w:fill="FFFFFF"/>
              </w:rPr>
              <w:t>含安装、调试、维修、保养、人员培训等。</w:t>
            </w:r>
          </w:p>
          <w:p w14:paraId="1C9C4409">
            <w:pPr>
              <w:shd w:val="solid" w:color="FFFFFF" w:fill="auto"/>
              <w:autoSpaceDN w:val="0"/>
              <w:snapToGrid w:val="0"/>
              <w:spacing w:line="360" w:lineRule="auto"/>
              <w:rPr>
                <w:color w:val="000000"/>
                <w:szCs w:val="21"/>
                <w:shd w:val="clear" w:color="auto" w:fill="FFFFFF"/>
              </w:rPr>
            </w:pPr>
            <w:r>
              <w:rPr>
                <w:color w:val="000000"/>
                <w:szCs w:val="21"/>
                <w:shd w:val="clear" w:color="auto" w:fill="FFFFFF"/>
              </w:rPr>
              <w:t>为维护采购人权益，</w:t>
            </w:r>
            <w:r>
              <w:rPr>
                <w:rFonts w:hint="eastAsia"/>
                <w:color w:val="000000"/>
                <w:szCs w:val="21"/>
                <w:shd w:val="clear" w:color="auto" w:fill="FFFFFF"/>
              </w:rPr>
              <w:t>中</w:t>
            </w:r>
            <w:r>
              <w:rPr>
                <w:color w:val="000000"/>
                <w:szCs w:val="21"/>
                <w:shd w:val="clear" w:color="auto" w:fill="FFFFFF"/>
              </w:rPr>
              <w:t>标</w:t>
            </w:r>
            <w:r>
              <w:rPr>
                <w:rFonts w:hint="eastAsia"/>
                <w:color w:val="000000"/>
                <w:szCs w:val="21"/>
                <w:shd w:val="clear" w:color="auto" w:fill="FFFFFF"/>
              </w:rPr>
              <w:t>人</w:t>
            </w:r>
            <w:r>
              <w:rPr>
                <w:color w:val="000000"/>
                <w:szCs w:val="21"/>
                <w:shd w:val="clear" w:color="auto" w:fill="FFFFFF"/>
              </w:rPr>
              <w:t>须在合同生效后一年内，结合学生教学实际需要，开展不少于15次现场培训，培训所产生的差旅费用由</w:t>
            </w:r>
            <w:r>
              <w:rPr>
                <w:rFonts w:hint="eastAsia"/>
                <w:color w:val="000000"/>
                <w:szCs w:val="21"/>
                <w:shd w:val="clear" w:color="auto" w:fill="FFFFFF"/>
              </w:rPr>
              <w:t>中</w:t>
            </w:r>
            <w:r>
              <w:rPr>
                <w:color w:val="000000"/>
                <w:szCs w:val="21"/>
                <w:shd w:val="clear" w:color="auto" w:fill="FFFFFF"/>
              </w:rPr>
              <w:t>标</w:t>
            </w:r>
            <w:r>
              <w:rPr>
                <w:rFonts w:hint="eastAsia"/>
                <w:color w:val="000000"/>
                <w:szCs w:val="21"/>
                <w:shd w:val="clear" w:color="auto" w:fill="FFFFFF"/>
              </w:rPr>
              <w:t>人</w:t>
            </w:r>
            <w:r>
              <w:rPr>
                <w:color w:val="000000"/>
                <w:szCs w:val="21"/>
                <w:shd w:val="clear" w:color="auto" w:fill="FFFFFF"/>
              </w:rPr>
              <w:t>自行承担。</w:t>
            </w:r>
            <w:bookmarkStart w:id="0" w:name="_GoBack"/>
            <w:bookmarkEnd w:id="0"/>
          </w:p>
        </w:tc>
      </w:tr>
      <w:tr w14:paraId="735B1E3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56FD6E2">
            <w:pPr>
              <w:shd w:val="solid" w:color="FFFFFF" w:fill="auto"/>
              <w:autoSpaceDN w:val="0"/>
              <w:snapToGrid w:val="0"/>
              <w:spacing w:line="360" w:lineRule="auto"/>
              <w:jc w:val="center"/>
              <w:rPr>
                <w:rFonts w:hint="eastAsia" w:ascii="宋体" w:hAnsi="宋体"/>
                <w:color w:val="000000"/>
                <w:szCs w:val="21"/>
                <w:shd w:val="clear" w:color="auto" w:fill="FFFFFF"/>
              </w:rPr>
            </w:pPr>
            <w:r>
              <w:rPr>
                <w:rFonts w:ascii="宋体" w:hAnsi="宋体"/>
                <w:color w:val="000000"/>
                <w:szCs w:val="21"/>
                <w:shd w:val="clear" w:color="auto" w:fill="FFFFFF"/>
              </w:rPr>
              <w:t>交货时间</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E9348C1">
            <w:pPr>
              <w:shd w:val="solid" w:color="FFFFFF" w:fill="auto"/>
              <w:autoSpaceDN w:val="0"/>
              <w:snapToGrid w:val="0"/>
              <w:spacing w:after="100" w:afterAutospacing="1"/>
              <w:jc w:val="left"/>
              <w:rPr>
                <w:rFonts w:hint="eastAsia" w:ascii="宋体" w:hAnsi="宋体"/>
                <w:color w:val="000000"/>
                <w:szCs w:val="21"/>
                <w:shd w:val="clear" w:color="auto" w:fill="FFFFFF"/>
              </w:rPr>
            </w:pPr>
            <w:r>
              <w:rPr>
                <w:rFonts w:hint="eastAsia" w:ascii="宋体" w:hAnsi="宋体" w:cs="宋体"/>
              </w:rPr>
              <w:t>合同签订生效</w:t>
            </w:r>
            <w:r>
              <w:rPr>
                <w:rFonts w:hint="eastAsia" w:ascii="宋体" w:hAnsi="宋体" w:cs="宋体"/>
                <w:szCs w:val="21"/>
              </w:rPr>
              <w:t>后</w:t>
            </w:r>
            <w:r>
              <w:rPr>
                <w:rFonts w:hint="eastAsia" w:ascii="宋体" w:hAnsi="宋体" w:cs="宋体"/>
                <w:color w:val="FF0000"/>
                <w:szCs w:val="21"/>
                <w:u w:val="single"/>
              </w:rPr>
              <w:t>30日历</w:t>
            </w:r>
            <w:r>
              <w:rPr>
                <w:rFonts w:hint="eastAsia" w:ascii="宋体" w:hAnsi="宋体" w:cs="宋体"/>
                <w:szCs w:val="21"/>
              </w:rPr>
              <w:t>天内。</w:t>
            </w:r>
            <w:r>
              <w:rPr>
                <w:rFonts w:hint="eastAsia" w:ascii="宋体" w:hAnsi="宋体" w:cs="宋体"/>
                <w:color w:val="FF0000"/>
              </w:rPr>
              <w:t>逾期提供货物，每天按合同款总额2‰的额度支付延期交货违约金（具体见第五章合同条款）。</w:t>
            </w:r>
          </w:p>
        </w:tc>
      </w:tr>
      <w:tr w14:paraId="6B398DB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9A2A81B">
            <w:pPr>
              <w:shd w:val="solid" w:color="FFFFFF" w:fill="auto"/>
              <w:autoSpaceDN w:val="0"/>
              <w:snapToGrid w:val="0"/>
              <w:spacing w:line="360" w:lineRule="auto"/>
              <w:jc w:val="center"/>
              <w:rPr>
                <w:rFonts w:hint="eastAsia" w:ascii="宋体" w:hAnsi="宋体"/>
                <w:color w:val="000000"/>
                <w:szCs w:val="21"/>
                <w:shd w:val="clear" w:color="auto" w:fill="FFFFFF"/>
              </w:rPr>
            </w:pPr>
            <w:r>
              <w:rPr>
                <w:rFonts w:ascii="宋体" w:hAnsi="宋体"/>
                <w:color w:val="000000"/>
                <w:szCs w:val="21"/>
                <w:shd w:val="clear" w:color="auto" w:fill="FFFFFF"/>
              </w:rPr>
              <w:t>付款方式</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4017C6FC">
            <w:pPr>
              <w:shd w:val="solid" w:color="FFFFFF" w:fill="auto"/>
              <w:autoSpaceDN w:val="0"/>
              <w:snapToGrid w:val="0"/>
              <w:spacing w:line="360" w:lineRule="auto"/>
              <w:jc w:val="left"/>
              <w:rPr>
                <w:rFonts w:hint="eastAsia" w:ascii="宋体" w:hAnsi="宋体"/>
                <w:color w:val="000000"/>
                <w:szCs w:val="21"/>
                <w:shd w:val="clear" w:color="auto" w:fill="FFFFFF"/>
              </w:rPr>
            </w:pPr>
            <w:r>
              <w:rPr>
                <w:rFonts w:ascii="宋体" w:hAnsi="宋体"/>
                <w:color w:val="000000"/>
                <w:szCs w:val="21"/>
                <w:shd w:val="clear" w:color="auto" w:fill="FFFFFF"/>
              </w:rPr>
              <w:t>见</w:t>
            </w:r>
            <w:r>
              <w:rPr>
                <w:rFonts w:hint="eastAsia"/>
                <w:szCs w:val="21"/>
              </w:rPr>
              <w:t>第五章合同条款</w:t>
            </w:r>
          </w:p>
        </w:tc>
      </w:tr>
      <w:tr w14:paraId="500BE2B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9FE42A1">
            <w:pPr>
              <w:shd w:val="solid" w:color="FFFFFF" w:fill="auto"/>
              <w:autoSpaceDN w:val="0"/>
              <w:snapToGrid w:val="0"/>
              <w:spacing w:line="360" w:lineRule="auto"/>
              <w:jc w:val="center"/>
              <w:rPr>
                <w:rFonts w:hint="eastAsia" w:ascii="宋体" w:hAnsi="宋体"/>
                <w:color w:val="000000"/>
                <w:szCs w:val="21"/>
                <w:shd w:val="clear" w:color="auto" w:fill="FFFFFF"/>
              </w:rPr>
            </w:pPr>
            <w:r>
              <w:rPr>
                <w:rFonts w:ascii="宋体" w:hAnsi="宋体"/>
                <w:color w:val="000000"/>
                <w:szCs w:val="21"/>
                <w:shd w:val="clear" w:color="auto" w:fill="FFFFFF"/>
              </w:rPr>
              <w:t>售后服务保障或维修响应时间要求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4A4EE74A">
            <w:pPr>
              <w:shd w:val="solid" w:color="FFFFFF" w:fill="auto"/>
              <w:autoSpaceDN w:val="0"/>
              <w:snapToGrid w:val="0"/>
              <w:spacing w:line="360" w:lineRule="auto"/>
              <w:jc w:val="left"/>
              <w:rPr>
                <w:rFonts w:hint="eastAsia" w:ascii="宋体" w:hAnsi="宋体"/>
                <w:color w:val="000000"/>
                <w:szCs w:val="21"/>
                <w:shd w:val="clear" w:color="auto" w:fill="FFFFFF"/>
              </w:rPr>
            </w:pPr>
            <w:r>
              <w:rPr>
                <w:rFonts w:hint="eastAsia" w:ascii="宋体" w:hAnsi="宋体" w:cs="宋体"/>
                <w:szCs w:val="21"/>
              </w:rPr>
              <w:t>乙方</w:t>
            </w:r>
            <w:r>
              <w:rPr>
                <w:rFonts w:hint="eastAsia" w:ascii="宋体" w:hAnsi="宋体" w:cs="宋体"/>
                <w:szCs w:val="21"/>
                <w:u w:val="single"/>
              </w:rPr>
              <w:t>8</w:t>
            </w:r>
            <w:r>
              <w:rPr>
                <w:rFonts w:hint="eastAsia" w:ascii="宋体" w:hAnsi="宋体" w:cs="宋体"/>
                <w:szCs w:val="21"/>
              </w:rPr>
              <w:t>小时内响应甲方的维修要求，</w:t>
            </w:r>
            <w:r>
              <w:rPr>
                <w:rFonts w:hint="eastAsia" w:ascii="宋体" w:hAnsi="宋体" w:cs="宋体"/>
                <w:szCs w:val="21"/>
                <w:u w:val="single"/>
              </w:rPr>
              <w:t>72</w:t>
            </w:r>
            <w:r>
              <w:rPr>
                <w:rFonts w:hint="eastAsia" w:ascii="宋体" w:hAnsi="宋体" w:cs="宋体"/>
                <w:szCs w:val="21"/>
              </w:rPr>
              <w:t>小时内解决，如超过</w:t>
            </w:r>
            <w:r>
              <w:rPr>
                <w:rFonts w:hint="eastAsia" w:ascii="宋体" w:hAnsi="宋体" w:cs="宋体"/>
                <w:szCs w:val="21"/>
                <w:u w:val="single"/>
              </w:rPr>
              <w:t>72</w:t>
            </w:r>
            <w:r>
              <w:rPr>
                <w:rFonts w:hint="eastAsia" w:ascii="宋体" w:hAnsi="宋体" w:cs="宋体"/>
                <w:szCs w:val="21"/>
              </w:rPr>
              <w:t>小时仍不能解决，由乙方在</w:t>
            </w:r>
            <w:r>
              <w:rPr>
                <w:rFonts w:hint="eastAsia" w:ascii="宋体" w:hAnsi="宋体" w:cs="宋体"/>
                <w:szCs w:val="21"/>
                <w:u w:val="single"/>
              </w:rPr>
              <w:t>120</w:t>
            </w:r>
            <w:r>
              <w:rPr>
                <w:rFonts w:hint="eastAsia" w:ascii="宋体" w:hAnsi="宋体" w:cs="宋体"/>
                <w:szCs w:val="21"/>
              </w:rPr>
              <w:t>小时内提供性能不低于故障产品的备用产品。</w:t>
            </w:r>
          </w:p>
        </w:tc>
      </w:tr>
    </w:tbl>
    <w:p w14:paraId="73046DD9">
      <w:pPr>
        <w:spacing w:line="300" w:lineRule="auto"/>
        <w:ind w:firstLine="480" w:firstLineChars="200"/>
        <w:rPr>
          <w:rFonts w:hint="eastAsia" w:ascii="宋体" w:hAnsi="宋体"/>
          <w:color w:val="000000"/>
          <w:sz w:val="24"/>
        </w:rPr>
      </w:pPr>
    </w:p>
    <w:p w14:paraId="0BF71DF7">
      <w:pPr>
        <w:spacing w:line="300" w:lineRule="auto"/>
        <w:ind w:firstLine="482" w:firstLineChars="200"/>
        <w:rPr>
          <w:rFonts w:hint="eastAsia" w:ascii="宋体" w:hAnsi="宋体"/>
          <w:b/>
          <w:color w:val="000000"/>
          <w:sz w:val="24"/>
        </w:rPr>
      </w:pPr>
      <w:r>
        <w:rPr>
          <w:rFonts w:hint="eastAsia" w:ascii="宋体" w:hAnsi="宋体"/>
          <w:b/>
          <w:color w:val="000000"/>
          <w:sz w:val="24"/>
        </w:rPr>
        <w:t>五、履约验收要求</w:t>
      </w:r>
    </w:p>
    <w:p w14:paraId="22453139">
      <w:pPr>
        <w:spacing w:line="300" w:lineRule="auto"/>
        <w:ind w:firstLine="420" w:firstLineChars="200"/>
        <w:rPr>
          <w:rFonts w:hint="eastAsia" w:ascii="宋体" w:hAnsi="宋体"/>
          <w:color w:val="000000"/>
          <w:szCs w:val="21"/>
        </w:rPr>
      </w:pPr>
      <w:r>
        <w:rPr>
          <w:rFonts w:hint="eastAsia" w:ascii="宋体" w:hAnsi="宋体"/>
          <w:color w:val="000000"/>
          <w:szCs w:val="21"/>
        </w:rPr>
        <w:t>中标人严格按约定时间供货，提供的货物必须符合我国最新颁布的与之相关的技术规范与标准，成品货物的到货验收包括但不限于：品名、品牌、尺码、数量、质量、铭牌、产品外观及外包装完整无破损。</w:t>
      </w:r>
    </w:p>
    <w:p w14:paraId="537E1CCA">
      <w:pPr>
        <w:spacing w:line="300" w:lineRule="auto"/>
        <w:ind w:firstLine="420" w:firstLineChars="200"/>
        <w:rPr>
          <w:rFonts w:hint="eastAsia" w:ascii="宋体" w:hAnsi="宋体"/>
          <w:color w:val="000000"/>
          <w:szCs w:val="21"/>
        </w:rPr>
      </w:pPr>
      <w:r>
        <w:rPr>
          <w:rFonts w:hint="eastAsia" w:ascii="宋体" w:hAnsi="宋体"/>
          <w:color w:val="000000"/>
          <w:szCs w:val="21"/>
        </w:rPr>
        <w:t>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p>
    <w:p w14:paraId="28235D5B">
      <w:pPr>
        <w:spacing w:line="300" w:lineRule="auto"/>
        <w:ind w:firstLine="420" w:firstLineChars="200"/>
        <w:rPr>
          <w:rFonts w:hint="eastAsia" w:ascii="宋体" w:hAnsi="宋体"/>
          <w:color w:val="000000"/>
          <w:szCs w:val="21"/>
        </w:rPr>
      </w:pPr>
      <w:r>
        <w:rPr>
          <w:rFonts w:hint="eastAsia" w:ascii="宋体" w:hAnsi="宋体"/>
          <w:color w:val="000000"/>
          <w:szCs w:val="21"/>
        </w:rPr>
        <w:t>中标人在交货前应对所有货物初步检查，并列出清单，作为采购人收货验收和使用的技术条件依据，清单应随货物一起交付采购人。</w:t>
      </w:r>
    </w:p>
    <w:p w14:paraId="6FC13C14">
      <w:pPr>
        <w:spacing w:line="300" w:lineRule="auto"/>
        <w:ind w:firstLine="420" w:firstLineChars="200"/>
        <w:rPr>
          <w:rFonts w:hint="eastAsia" w:ascii="宋体" w:hAnsi="宋体"/>
          <w:color w:val="000000"/>
          <w:szCs w:val="21"/>
        </w:rPr>
      </w:pPr>
      <w:r>
        <w:rPr>
          <w:rFonts w:hint="eastAsia" w:ascii="宋体" w:hAnsi="宋体"/>
          <w:color w:val="000000"/>
          <w:szCs w:val="21"/>
        </w:rPr>
        <w:t>货物运抵采购人指定地点，采购人检查和记录外包装及设备外观状况有无破损、锈蚀、受潮等，按合同和装箱单对货物的外观、质量、型号、规格、数量、配件及附件等进行清点检验。清点无误后中标方需在3天内开始组织安装、调试、培训，并取得相关完成凭证提交采购人。</w:t>
      </w:r>
    </w:p>
    <w:p w14:paraId="632ACB2B">
      <w:pPr>
        <w:spacing w:line="300" w:lineRule="auto"/>
        <w:ind w:firstLine="420" w:firstLineChars="200"/>
        <w:rPr>
          <w:rFonts w:hint="eastAsia" w:ascii="宋体" w:hAnsi="宋体"/>
          <w:color w:val="000000"/>
          <w:szCs w:val="21"/>
        </w:rPr>
      </w:pPr>
      <w:r>
        <w:rPr>
          <w:rFonts w:hint="eastAsia" w:ascii="宋体" w:hAnsi="宋体"/>
          <w:color w:val="000000"/>
          <w:szCs w:val="21"/>
        </w:rPr>
        <w:t>采购人试运行合格两周内依法组织验收工作。采购人在组织履约验收前，将根据项目特点制定验收方案，明确履约验收的时间、方式、程序等内容，中标人应根据验收方案内容做好相应配合工作。如有必要，采购人邀请参加本项目的其他供应商或第三方专业机构及专家参与验收，相关意见将作为验收的参考资料。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p>
    <w:p w14:paraId="7BC10CDB">
      <w:pPr>
        <w:spacing w:line="300" w:lineRule="auto"/>
        <w:ind w:firstLine="420" w:firstLineChars="200"/>
        <w:rPr>
          <w:rFonts w:hint="eastAsia" w:ascii="宋体" w:hAnsi="宋体"/>
          <w:color w:val="000000"/>
          <w:szCs w:val="21"/>
        </w:rPr>
      </w:pPr>
      <w:r>
        <w:rPr>
          <w:rFonts w:hint="eastAsia" w:ascii="宋体" w:hAnsi="宋体"/>
          <w:color w:val="000000"/>
          <w:szCs w:val="21"/>
        </w:rPr>
        <w:t>验收结束后，验收小组出具验收报告，列明各项标准的验收情况及项目总体评价。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p>
    <w:p w14:paraId="38171E67">
      <w:pPr>
        <w:spacing w:line="300" w:lineRule="auto"/>
        <w:ind w:firstLine="420" w:firstLineChars="200"/>
        <w:rPr>
          <w:rFonts w:hint="eastAsia" w:ascii="宋体" w:hAnsi="宋体"/>
          <w:color w:val="000000"/>
          <w:szCs w:val="21"/>
        </w:rPr>
      </w:pPr>
    </w:p>
    <w:p w14:paraId="69F61E2C">
      <w:pPr>
        <w:spacing w:line="300" w:lineRule="auto"/>
        <w:ind w:firstLine="482" w:firstLineChars="200"/>
        <w:rPr>
          <w:rFonts w:hint="eastAsia" w:ascii="宋体" w:hAnsi="宋体"/>
          <w:b/>
          <w:color w:val="000000"/>
          <w:sz w:val="24"/>
        </w:rPr>
      </w:pPr>
      <w:r>
        <w:rPr>
          <w:rFonts w:hint="eastAsia" w:ascii="宋体" w:hAnsi="宋体"/>
          <w:b/>
          <w:color w:val="000000"/>
          <w:sz w:val="24"/>
        </w:rPr>
        <w:t>六、其它要求</w:t>
      </w:r>
    </w:p>
    <w:p w14:paraId="21F06623">
      <w:pPr>
        <w:spacing w:line="300" w:lineRule="auto"/>
        <w:ind w:firstLine="420" w:firstLineChars="200"/>
        <w:rPr>
          <w:rFonts w:hint="eastAsia" w:ascii="宋体" w:hAnsi="宋体" w:cs="MS Shell Dlg"/>
          <w:szCs w:val="21"/>
        </w:rPr>
      </w:pPr>
      <w:r>
        <w:rPr>
          <w:rFonts w:hint="eastAsia" w:ascii="宋体" w:hAnsi="宋体" w:cs="MS Shell Dlg"/>
          <w:szCs w:val="21"/>
        </w:rPr>
        <w:t>(1)因不同投标人的设备设计原理未必完全相同，投标人可视自身情况配置设备及附件，但应能充分满足招标人的功能及参数要求。</w:t>
      </w:r>
    </w:p>
    <w:p w14:paraId="1E8B12A0">
      <w:pPr>
        <w:spacing w:line="300" w:lineRule="auto"/>
        <w:ind w:firstLine="420" w:firstLineChars="200"/>
        <w:rPr>
          <w:rFonts w:hint="eastAsia" w:ascii="宋体" w:hAnsi="宋体" w:cs="MS Shell Dlg"/>
          <w:szCs w:val="21"/>
        </w:rPr>
      </w:pPr>
      <w:r>
        <w:rPr>
          <w:rFonts w:hint="eastAsia" w:ascii="宋体" w:hAnsi="宋体" w:cs="MS Shell Dlg"/>
          <w:szCs w:val="21"/>
        </w:rPr>
        <w:t>(2)投标人应保证提供满足招标人正常使用的必要配置及附件而不再需要花费任何额外的费用，即使采购方在制定招标书时要求不够具体。安装后就能正常工作。</w:t>
      </w:r>
    </w:p>
    <w:p w14:paraId="585649A8">
      <w:pPr>
        <w:spacing w:line="300" w:lineRule="auto"/>
        <w:ind w:firstLine="420" w:firstLineChars="200"/>
        <w:rPr>
          <w:rFonts w:hint="eastAsia" w:ascii="宋体" w:hAnsi="宋体"/>
          <w:szCs w:val="21"/>
        </w:rPr>
      </w:pPr>
      <w:r>
        <w:rPr>
          <w:rFonts w:hint="eastAsia" w:ascii="宋体" w:hAnsi="宋体" w:cs="MS Shell Dlg"/>
          <w:szCs w:val="21"/>
        </w:rPr>
        <w:t xml:space="preserve">(3)房屋装修改造工程室内环境必须符合GB50325-2001《民用建筑工程室内环境污染控制规范》,并达到GB/T18883-2002《室内空气质量标准》，项目竣工后由中标人委托市级及以上检测机构进行检测并出具合格报告，如无合格报告，招标人不予验收，中标人进行整改直至合格，造成工期延误的，责任由中标人承担。      </w:t>
      </w:r>
    </w:p>
    <w:p w14:paraId="0154A174">
      <w:pPr>
        <w:spacing w:line="300" w:lineRule="auto"/>
        <w:ind w:firstLine="1890" w:firstLineChars="900"/>
        <w:rPr>
          <w:rFonts w:hint="eastAsia" w:ascii="宋体" w:hAnsi="宋体" w:cs="MS Shell Dlg"/>
          <w:szCs w:val="21"/>
        </w:rPr>
      </w:pPr>
    </w:p>
    <w:p w14:paraId="769E3CF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30204"/>
    <w:charset w:val="00"/>
    <w:family w:val="swiss"/>
    <w:pitch w:val="default"/>
    <w:sig w:usb0="00000000" w:usb1="00000000" w:usb2="00000000" w:usb3="00000000" w:csb0="00000000" w:csb1="00000000"/>
  </w:font>
  <w:font w:name="MS Shell Dlg">
    <w:altName w:val="Microsoft Sans Serif"/>
    <w:panose1 w:val="020B0604020202020204"/>
    <w:charset w:val="00"/>
    <w:family w:val="swiss"/>
    <w:pitch w:val="default"/>
    <w:sig w:usb0="00000000" w:usb1="00000000"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3F1BB5"/>
    <w:rsid w:val="030E6BBE"/>
    <w:rsid w:val="09101BBC"/>
    <w:rsid w:val="091F0E9B"/>
    <w:rsid w:val="09623170"/>
    <w:rsid w:val="17092182"/>
    <w:rsid w:val="1C7B16F4"/>
    <w:rsid w:val="1D6F7A38"/>
    <w:rsid w:val="22463CF8"/>
    <w:rsid w:val="270D3B54"/>
    <w:rsid w:val="28EF7EF7"/>
    <w:rsid w:val="2B0679B7"/>
    <w:rsid w:val="2E5A6C8B"/>
    <w:rsid w:val="31F83B0E"/>
    <w:rsid w:val="33722611"/>
    <w:rsid w:val="38742C06"/>
    <w:rsid w:val="3A296990"/>
    <w:rsid w:val="470615DE"/>
    <w:rsid w:val="4CFB377C"/>
    <w:rsid w:val="52766386"/>
    <w:rsid w:val="5A3F1BB5"/>
    <w:rsid w:val="607C3374"/>
    <w:rsid w:val="69683078"/>
    <w:rsid w:val="6E0C6685"/>
    <w:rsid w:val="7B4D5003"/>
    <w:rsid w:val="7DB1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2026-06-25T08:54:00Z</dcterms:created>
  <dc:creator>WD..</dc:creator>
  <cp:lastModifiedBy>WD..</cp:lastModifiedBy>
  <dcterms:modified xsi:type="dcterms:W3CDTF">2026-06-25T08:56:57Z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4F865E3862134F85A162EF115108273E_11</vt:lpwstr>
  </property>
  <property fmtid="{D5CDD505-2E9C-101B-9397-08002B2CF9AE}" pid="4" name="KSOTemplateDocerSaveRecord">
    <vt:lpwstr>eyJoZGlkIjoiZWNkMTE4ZjYyNTk1NDdlYjc5MWM1MjYwM2E5YjgyM2YiLCJ1c2VySWQiOiI0MzIxMTkxMDIifQ==</vt:lpwstr>
  </property>
</Properties>
</file>