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FF9386">
      <w:pPr>
        <w:widowControl/>
        <w:jc w:val="center"/>
        <w:rPr>
          <w:b/>
          <w:sz w:val="32"/>
          <w:szCs w:val="32"/>
          <w:highlight w:val="none"/>
        </w:rPr>
      </w:pPr>
      <w:r>
        <w:rPr>
          <w:rFonts w:hint="eastAsia"/>
          <w:b/>
          <w:sz w:val="32"/>
          <w:szCs w:val="32"/>
          <w:highlight w:val="none"/>
        </w:rPr>
        <w:t>第四章 项目（货物或者服务）需求说明</w:t>
      </w:r>
    </w:p>
    <w:p w14:paraId="33E4D479">
      <w:pPr>
        <w:pStyle w:val="2"/>
        <w:rPr>
          <w:rFonts w:ascii="宋体" w:hAnsi="宋体"/>
          <w:color w:val="auto"/>
          <w:sz w:val="24"/>
          <w:highlight w:val="none"/>
        </w:rPr>
      </w:pPr>
      <w:r>
        <w:rPr>
          <w:rFonts w:hint="eastAsia" w:ascii="宋体" w:hAnsi="宋体"/>
          <w:color w:val="auto"/>
          <w:sz w:val="24"/>
          <w:highlight w:val="none"/>
        </w:rPr>
        <w:t>一、技术参数要求</w:t>
      </w:r>
    </w:p>
    <w:p w14:paraId="4826C4E5">
      <w:pPr>
        <w:rPr>
          <w:rFonts w:ascii="宋体" w:hAnsi="宋体"/>
          <w:sz w:val="24"/>
          <w:highlight w:val="none"/>
        </w:rPr>
      </w:pPr>
      <w:r>
        <w:rPr>
          <w:rFonts w:hint="eastAsia" w:ascii="宋体" w:hAnsi="宋体"/>
          <w:sz w:val="24"/>
          <w:highlight w:val="none"/>
        </w:rPr>
        <w:t>1. ★承诺提供不小于200M的IPv4网络带宽接入到</w:t>
      </w:r>
      <w:r>
        <w:rPr>
          <w:rFonts w:ascii="宋体" w:hAnsi="宋体"/>
          <w:sz w:val="24"/>
          <w:highlight w:val="none"/>
        </w:rPr>
        <w:t>CERNET</w:t>
      </w:r>
      <w:r>
        <w:rPr>
          <w:rFonts w:hint="eastAsia" w:ascii="宋体" w:hAnsi="宋体"/>
          <w:sz w:val="24"/>
          <w:highlight w:val="none"/>
        </w:rPr>
        <w:t>全国主干网。</w:t>
      </w:r>
    </w:p>
    <w:p w14:paraId="5FEC96DE">
      <w:pPr>
        <w:rPr>
          <w:rFonts w:ascii="宋体" w:hAnsi="宋体"/>
          <w:sz w:val="24"/>
          <w:highlight w:val="none"/>
        </w:rPr>
      </w:pPr>
      <w:r>
        <w:rPr>
          <w:rFonts w:hint="eastAsia" w:ascii="宋体" w:hAnsi="宋体"/>
          <w:sz w:val="24"/>
          <w:highlight w:val="none"/>
        </w:rPr>
        <w:t>2. ★承诺提供不小于200M的IPv6网络带宽接入到CERNET2全国主干网。</w:t>
      </w:r>
    </w:p>
    <w:p w14:paraId="23716529">
      <w:pPr>
        <w:rPr>
          <w:rFonts w:ascii="宋体" w:hAnsi="宋体"/>
          <w:sz w:val="24"/>
          <w:highlight w:val="none"/>
        </w:rPr>
      </w:pPr>
      <w:r>
        <w:rPr>
          <w:rFonts w:hint="eastAsia" w:ascii="宋体" w:hAnsi="宋体"/>
          <w:sz w:val="24"/>
          <w:highlight w:val="none"/>
        </w:rPr>
        <w:t>3. ★承诺免费提供后缀为.edu.cn的域名服务。</w:t>
      </w:r>
    </w:p>
    <w:p w14:paraId="761A4F07">
      <w:pPr>
        <w:rPr>
          <w:rFonts w:ascii="宋体" w:hAnsi="宋体"/>
          <w:sz w:val="24"/>
          <w:highlight w:val="none"/>
        </w:rPr>
      </w:pPr>
      <w:r>
        <w:rPr>
          <w:rFonts w:hint="eastAsia" w:ascii="宋体" w:hAnsi="宋体"/>
          <w:sz w:val="24"/>
          <w:highlight w:val="none"/>
        </w:rPr>
        <w:t>4. ★承诺提供不少于16384（64C）个公网IPv4地址；不少于1个2^80(2的80次方，即 ::/48)个公网IPv6地址。</w:t>
      </w:r>
    </w:p>
    <w:p w14:paraId="4E702C9B">
      <w:pPr>
        <w:rPr>
          <w:rFonts w:ascii="宋体" w:hAnsi="宋体"/>
          <w:sz w:val="24"/>
          <w:highlight w:val="none"/>
        </w:rPr>
      </w:pPr>
      <w:r>
        <w:rPr>
          <w:rFonts w:hint="eastAsia" w:ascii="宋体" w:hAnsi="宋体"/>
          <w:sz w:val="24"/>
          <w:highlight w:val="none"/>
        </w:rPr>
        <w:t>5. 要求支持静态接入和BGP动态路由接入，并可接收运营商网内路由表。</w:t>
      </w:r>
    </w:p>
    <w:p w14:paraId="132C314D">
      <w:pPr>
        <w:rPr>
          <w:rFonts w:ascii="宋体" w:hAnsi="宋体"/>
          <w:sz w:val="24"/>
          <w:highlight w:val="none"/>
        </w:rPr>
      </w:pPr>
      <w:r>
        <w:rPr>
          <w:rFonts w:hint="eastAsia" w:ascii="宋体" w:hAnsi="宋体"/>
          <w:sz w:val="24"/>
          <w:highlight w:val="none"/>
        </w:rPr>
        <w:t>6. 承诺所提供带宽线路应确保至以下国内常用网站的Ping网络时延低于50ms，丢包率低于0.1%。(包括但不限于下述网站)</w:t>
      </w:r>
    </w:p>
    <w:tbl>
      <w:tblPr>
        <w:tblStyle w:val="3"/>
        <w:tblW w:w="5539" w:type="dxa"/>
        <w:jc w:val="center"/>
        <w:tblLayout w:type="autofit"/>
        <w:tblCellMar>
          <w:top w:w="0" w:type="dxa"/>
          <w:left w:w="0" w:type="dxa"/>
          <w:bottom w:w="0" w:type="dxa"/>
          <w:right w:w="0" w:type="dxa"/>
        </w:tblCellMar>
      </w:tblPr>
      <w:tblGrid>
        <w:gridCol w:w="2694"/>
        <w:gridCol w:w="2845"/>
      </w:tblGrid>
      <w:tr w14:paraId="136FB0F6">
        <w:tblPrEx>
          <w:tblCellMar>
            <w:top w:w="0" w:type="dxa"/>
            <w:left w:w="0" w:type="dxa"/>
            <w:bottom w:w="0" w:type="dxa"/>
            <w:right w:w="0" w:type="dxa"/>
          </w:tblCellMar>
        </w:tblPrEx>
        <w:trPr>
          <w:trHeight w:val="285" w:hRule="atLeast"/>
          <w:jc w:val="center"/>
        </w:trPr>
        <w:tc>
          <w:tcPr>
            <w:tcW w:w="269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bottom"/>
          </w:tcPr>
          <w:p w14:paraId="3FEC1213">
            <w:pPr>
              <w:jc w:val="center"/>
              <w:rPr>
                <w:rFonts w:ascii="宋体" w:hAnsi="宋体"/>
                <w:sz w:val="24"/>
                <w:highlight w:val="none"/>
              </w:rPr>
            </w:pPr>
            <w:r>
              <w:rPr>
                <w:rFonts w:hint="eastAsia" w:ascii="宋体" w:hAnsi="宋体"/>
                <w:sz w:val="24"/>
                <w:highlight w:val="none"/>
              </w:rPr>
              <w:t>ICP服务商</w:t>
            </w:r>
          </w:p>
        </w:tc>
        <w:tc>
          <w:tcPr>
            <w:tcW w:w="28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bottom"/>
          </w:tcPr>
          <w:p w14:paraId="3B50B954">
            <w:pPr>
              <w:jc w:val="center"/>
              <w:rPr>
                <w:rFonts w:ascii="宋体" w:hAnsi="宋体"/>
                <w:sz w:val="24"/>
                <w:highlight w:val="none"/>
              </w:rPr>
            </w:pPr>
            <w:r>
              <w:rPr>
                <w:rFonts w:hint="eastAsia" w:ascii="宋体" w:hAnsi="宋体"/>
                <w:sz w:val="24"/>
                <w:highlight w:val="none"/>
              </w:rPr>
              <w:t>网址</w:t>
            </w:r>
          </w:p>
        </w:tc>
      </w:tr>
      <w:tr w14:paraId="7F947684">
        <w:tblPrEx>
          <w:tblCellMar>
            <w:top w:w="0" w:type="dxa"/>
            <w:left w:w="0" w:type="dxa"/>
            <w:bottom w:w="0" w:type="dxa"/>
            <w:right w:w="0" w:type="dxa"/>
          </w:tblCellMar>
        </w:tblPrEx>
        <w:trPr>
          <w:trHeight w:val="285" w:hRule="atLeast"/>
          <w:jc w:val="center"/>
        </w:trPr>
        <w:tc>
          <w:tcPr>
            <w:tcW w:w="269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bottom"/>
          </w:tcPr>
          <w:p w14:paraId="5648B893">
            <w:pPr>
              <w:rPr>
                <w:rFonts w:ascii="宋体" w:hAnsi="宋体"/>
                <w:sz w:val="24"/>
                <w:highlight w:val="none"/>
              </w:rPr>
            </w:pPr>
            <w:r>
              <w:rPr>
                <w:rFonts w:hint="eastAsia" w:ascii="宋体" w:hAnsi="宋体"/>
                <w:sz w:val="24"/>
                <w:highlight w:val="none"/>
              </w:rPr>
              <w:t>知网</w:t>
            </w:r>
          </w:p>
        </w:tc>
        <w:tc>
          <w:tcPr>
            <w:tcW w:w="28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bottom"/>
          </w:tcPr>
          <w:p w14:paraId="3AA1919E">
            <w:pPr>
              <w:rPr>
                <w:rFonts w:ascii="宋体" w:hAnsi="宋体"/>
                <w:sz w:val="24"/>
                <w:highlight w:val="none"/>
              </w:rPr>
            </w:pPr>
            <w:r>
              <w:rPr>
                <w:rFonts w:hint="eastAsia" w:ascii="宋体" w:hAnsi="宋体"/>
                <w:sz w:val="24"/>
                <w:highlight w:val="none"/>
              </w:rPr>
              <w:t>www.cnki.net</w:t>
            </w:r>
          </w:p>
        </w:tc>
      </w:tr>
      <w:tr w14:paraId="26C5341E">
        <w:tblPrEx>
          <w:tblCellMar>
            <w:top w:w="0" w:type="dxa"/>
            <w:left w:w="0" w:type="dxa"/>
            <w:bottom w:w="0" w:type="dxa"/>
            <w:right w:w="0" w:type="dxa"/>
          </w:tblCellMar>
        </w:tblPrEx>
        <w:trPr>
          <w:trHeight w:val="285" w:hRule="atLeast"/>
          <w:jc w:val="center"/>
        </w:trPr>
        <w:tc>
          <w:tcPr>
            <w:tcW w:w="269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bottom"/>
          </w:tcPr>
          <w:p w14:paraId="6B7B6D6A">
            <w:pPr>
              <w:rPr>
                <w:rFonts w:ascii="宋体" w:hAnsi="宋体"/>
                <w:sz w:val="24"/>
                <w:highlight w:val="none"/>
              </w:rPr>
            </w:pPr>
            <w:r>
              <w:rPr>
                <w:rFonts w:hint="eastAsia" w:ascii="宋体" w:hAnsi="宋体"/>
                <w:sz w:val="24"/>
                <w:highlight w:val="none"/>
              </w:rPr>
              <w:t>教科网特色资源</w:t>
            </w:r>
          </w:p>
        </w:tc>
        <w:tc>
          <w:tcPr>
            <w:tcW w:w="28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bottom"/>
          </w:tcPr>
          <w:p w14:paraId="30EA52B7">
            <w:pPr>
              <w:rPr>
                <w:rFonts w:ascii="宋体" w:hAnsi="宋体"/>
                <w:sz w:val="24"/>
                <w:highlight w:val="none"/>
              </w:rPr>
            </w:pPr>
            <w:r>
              <w:rPr>
                <w:rFonts w:hint="eastAsia" w:ascii="宋体" w:hAnsi="宋体"/>
                <w:sz w:val="24"/>
                <w:highlight w:val="none"/>
              </w:rPr>
              <w:t>10ms.edu.cn</w:t>
            </w:r>
          </w:p>
        </w:tc>
      </w:tr>
      <w:tr w14:paraId="3B3685D2">
        <w:tblPrEx>
          <w:tblCellMar>
            <w:top w:w="0" w:type="dxa"/>
            <w:left w:w="0" w:type="dxa"/>
            <w:bottom w:w="0" w:type="dxa"/>
            <w:right w:w="0" w:type="dxa"/>
          </w:tblCellMar>
        </w:tblPrEx>
        <w:trPr>
          <w:trHeight w:val="285" w:hRule="atLeast"/>
          <w:jc w:val="center"/>
        </w:trPr>
        <w:tc>
          <w:tcPr>
            <w:tcW w:w="269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bottom"/>
          </w:tcPr>
          <w:p w14:paraId="64259E89">
            <w:pPr>
              <w:rPr>
                <w:rFonts w:ascii="宋体" w:hAnsi="宋体"/>
                <w:sz w:val="24"/>
                <w:highlight w:val="none"/>
              </w:rPr>
            </w:pPr>
            <w:r>
              <w:rPr>
                <w:rFonts w:hint="eastAsia" w:ascii="宋体" w:hAnsi="宋体"/>
                <w:sz w:val="24"/>
                <w:highlight w:val="none"/>
              </w:rPr>
              <w:t>IPv6发展态势监测平台</w:t>
            </w:r>
          </w:p>
        </w:tc>
        <w:tc>
          <w:tcPr>
            <w:tcW w:w="28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bottom"/>
          </w:tcPr>
          <w:p w14:paraId="248446DE">
            <w:pPr>
              <w:rPr>
                <w:rFonts w:ascii="宋体" w:hAnsi="宋体"/>
                <w:sz w:val="24"/>
                <w:highlight w:val="none"/>
              </w:rPr>
            </w:pPr>
            <w:r>
              <w:rPr>
                <w:rFonts w:hint="eastAsia" w:ascii="宋体" w:hAnsi="宋体"/>
                <w:sz w:val="24"/>
                <w:highlight w:val="none"/>
              </w:rPr>
              <w:t>ipv6c.cngi.edu.cn</w:t>
            </w:r>
          </w:p>
        </w:tc>
      </w:tr>
      <w:tr w14:paraId="1341E649">
        <w:tblPrEx>
          <w:tblCellMar>
            <w:top w:w="0" w:type="dxa"/>
            <w:left w:w="0" w:type="dxa"/>
            <w:bottom w:w="0" w:type="dxa"/>
            <w:right w:w="0" w:type="dxa"/>
          </w:tblCellMar>
        </w:tblPrEx>
        <w:trPr>
          <w:trHeight w:val="285" w:hRule="atLeast"/>
          <w:jc w:val="center"/>
        </w:trPr>
        <w:tc>
          <w:tcPr>
            <w:tcW w:w="2694"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bottom"/>
          </w:tcPr>
          <w:p w14:paraId="6AE1FA8F">
            <w:pPr>
              <w:rPr>
                <w:rFonts w:ascii="宋体" w:hAnsi="宋体"/>
                <w:sz w:val="24"/>
                <w:highlight w:val="none"/>
              </w:rPr>
            </w:pPr>
            <w:r>
              <w:rPr>
                <w:rFonts w:hint="eastAsia" w:ascii="宋体" w:hAnsi="宋体"/>
                <w:sz w:val="24"/>
                <w:highlight w:val="none"/>
              </w:rPr>
              <w:t>南京大学开源镜像站</w:t>
            </w:r>
          </w:p>
        </w:tc>
        <w:tc>
          <w:tcPr>
            <w:tcW w:w="284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bottom"/>
          </w:tcPr>
          <w:p w14:paraId="23267F96">
            <w:pPr>
              <w:rPr>
                <w:rFonts w:ascii="宋体" w:hAnsi="宋体"/>
                <w:sz w:val="24"/>
                <w:highlight w:val="none"/>
              </w:rPr>
            </w:pPr>
            <w:r>
              <w:rPr>
                <w:rFonts w:hint="eastAsia" w:ascii="宋体" w:hAnsi="宋体"/>
                <w:sz w:val="24"/>
                <w:highlight w:val="none"/>
              </w:rPr>
              <w:t>mirrors.nju.edu.cn</w:t>
            </w:r>
          </w:p>
        </w:tc>
      </w:tr>
    </w:tbl>
    <w:p w14:paraId="5D116F5D">
      <w:pPr>
        <w:rPr>
          <w:rFonts w:ascii="宋体" w:hAnsi="宋体"/>
          <w:sz w:val="24"/>
          <w:highlight w:val="none"/>
        </w:rPr>
      </w:pPr>
      <w:r>
        <w:rPr>
          <w:rFonts w:hint="eastAsia" w:ascii="宋体" w:hAnsi="宋体"/>
          <w:sz w:val="24"/>
          <w:highlight w:val="none"/>
        </w:rPr>
        <w:t>7. 承诺</w:t>
      </w:r>
      <w:r>
        <w:rPr>
          <w:rFonts w:ascii="宋体" w:hAnsi="宋体"/>
          <w:sz w:val="24"/>
          <w:highlight w:val="none"/>
        </w:rPr>
        <w:t>提供足够的安全防范设施，在任何情况下（不可抗力除外）始终保证用户带宽服务畅通，至全国主干网丢包率低于0.1%。</w:t>
      </w:r>
    </w:p>
    <w:p w14:paraId="654AAB75">
      <w:pPr>
        <w:rPr>
          <w:rFonts w:ascii="宋体" w:hAnsi="宋体"/>
          <w:sz w:val="24"/>
          <w:highlight w:val="none"/>
        </w:rPr>
      </w:pPr>
      <w:r>
        <w:rPr>
          <w:rFonts w:hint="eastAsia" w:ascii="宋体" w:hAnsi="宋体"/>
          <w:sz w:val="24"/>
          <w:highlight w:val="none"/>
        </w:rPr>
        <w:t>8.提供网络测速与网络流量监控服务手段（如提供到主干节点的延时测试；提供带宽使用流量情况图表等）。</w:t>
      </w:r>
    </w:p>
    <w:p w14:paraId="0E598FE0">
      <w:pPr>
        <w:rPr>
          <w:rFonts w:ascii="宋体" w:hAnsi="宋体"/>
          <w:sz w:val="24"/>
          <w:highlight w:val="none"/>
        </w:rPr>
      </w:pPr>
      <w:r>
        <w:rPr>
          <w:rFonts w:ascii="宋体" w:hAnsi="宋体"/>
          <w:sz w:val="24"/>
          <w:highlight w:val="none"/>
        </w:rPr>
        <w:t>9</w:t>
      </w:r>
      <w:r>
        <w:rPr>
          <w:rFonts w:hint="eastAsia" w:ascii="宋体" w:hAnsi="宋体"/>
          <w:sz w:val="24"/>
          <w:highlight w:val="none"/>
        </w:rPr>
        <w:t>. 供应商需提供接入层网络设备可支持1G/10G/40G/100G传输通道接入，同时满足教育网IPV4、IPV6、FITI网络等独立接入，提供截图并加盖投标人公章；</w:t>
      </w:r>
    </w:p>
    <w:p w14:paraId="0703118E">
      <w:pPr>
        <w:rPr>
          <w:rFonts w:ascii="宋体" w:hAnsi="宋体"/>
          <w:sz w:val="24"/>
          <w:highlight w:val="none"/>
        </w:rPr>
      </w:pPr>
      <w:r>
        <w:rPr>
          <w:rFonts w:hint="eastAsia" w:ascii="宋体" w:hAnsi="宋体"/>
          <w:sz w:val="24"/>
          <w:highlight w:val="none"/>
        </w:rPr>
        <w:t>1</w:t>
      </w:r>
      <w:r>
        <w:rPr>
          <w:rFonts w:ascii="宋体" w:hAnsi="宋体"/>
          <w:sz w:val="24"/>
          <w:highlight w:val="none"/>
        </w:rPr>
        <w:t>0</w:t>
      </w:r>
      <w:r>
        <w:rPr>
          <w:rFonts w:hint="eastAsia" w:ascii="宋体" w:hAnsi="宋体"/>
          <w:sz w:val="24"/>
          <w:highlight w:val="none"/>
        </w:rPr>
        <w:t>. 需能满足教育部视频会议内网路由规划配置并提供重要视频会议保障，提供路由规划配置表并加盖投标人公章；</w:t>
      </w:r>
    </w:p>
    <w:p w14:paraId="102224A9">
      <w:pPr>
        <w:rPr>
          <w:rFonts w:hint="eastAsia" w:ascii="宋体" w:hAnsi="宋体"/>
          <w:sz w:val="24"/>
          <w:highlight w:val="none"/>
        </w:rPr>
      </w:pPr>
      <w:r>
        <w:rPr>
          <w:rFonts w:ascii="宋体" w:hAnsi="宋体"/>
          <w:sz w:val="24"/>
          <w:highlight w:val="none"/>
        </w:rPr>
        <w:t>11.</w:t>
      </w:r>
      <w:r>
        <w:rPr>
          <w:rFonts w:hint="eastAsia" w:ascii="宋体" w:hAnsi="宋体"/>
          <w:sz w:val="24"/>
          <w:highlight w:val="none"/>
        </w:rPr>
        <w:t xml:space="preserve"> 供应商需结合接入网络提供互联网内容资源优化加速服务，用户侧至内容资源节点延时低于3ms，并可提供独立DNS服务用于互联网资源引入，提供网络截图并加盖投标人公章；</w:t>
      </w:r>
    </w:p>
    <w:p w14:paraId="7CABB513">
      <w:r>
        <w:rPr>
          <w:rFonts w:hint="eastAsia" w:ascii="宋体" w:hAnsi="宋体" w:cs="MS Shell Dlg"/>
          <w:szCs w:val="21"/>
          <w:highlight w:val="none"/>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Mincho">
    <w:altName w:val="Yu Gothic UI"/>
    <w:panose1 w:val="02020609040205080304"/>
    <w:charset w:val="80"/>
    <w:family w:val="modern"/>
    <w:pitch w:val="default"/>
    <w:sig w:usb0="00000000" w:usb1="00000000" w:usb2="00000010" w:usb3="00000000" w:csb0="4002009F" w:csb1="DFD70000"/>
  </w:font>
  <w:font w:name="MS Shell Dlg">
    <w:altName w:val="Microsoft Sans Serif"/>
    <w:panose1 w:val="020B0604020202020204"/>
    <w:charset w:val="00"/>
    <w:family w:val="swiss"/>
    <w:pitch w:val="default"/>
    <w:sig w:usb0="00000000" w:usb1="00000000" w:usb2="00000008" w:usb3="00000000" w:csb0="000101FF" w:csb1="00000000"/>
  </w:font>
  <w:font w:name="Yu Gothic UI">
    <w:panose1 w:val="020B0500000000000000"/>
    <w:charset w:val="80"/>
    <w:family w:val="auto"/>
    <w:pitch w:val="default"/>
    <w:sig w:usb0="E00002FF" w:usb1="2AC7FDFF" w:usb2="00000016" w:usb3="00000000" w:csb0="2002009F" w:csb1="00000000"/>
  </w:font>
  <w:font w:name="Microsoft Sans Serif">
    <w:panose1 w:val="020B0604020202020204"/>
    <w:charset w:val="00"/>
    <w:family w:val="auto"/>
    <w:pitch w:val="default"/>
    <w:sig w:usb0="E5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1A3336"/>
    <w:rsid w:val="320A66A5"/>
    <w:rsid w:val="711A33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Default"/>
    <w:autoRedefine/>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2026-06-17T08:48:00Z</dcterms:created>
  <dc:creator>一秀</dc:creator>
  <cp:lastModifiedBy>一秀</cp:lastModifiedBy>
  <dcterms:modified xsi:type="dcterms:W3CDTF">2026-06-17T08:48:28Z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BBA76D8FD3744B24B9736CFCE3B0BE0C_11</vt:lpwstr>
  </property>
  <property fmtid="{D5CDD505-2E9C-101B-9397-08002B2CF9AE}" pid="4" name="KSOTemplateDocerSaveRecord">
    <vt:lpwstr>eyJoZGlkIjoiNWM3ZTlmNDJlNDA0ZjExYzBmYjlhYjZkMjg5OTgyNTciLCJ1c2VySWQiOiIxMTAwMDQwOTMzIn0=</vt:lpwstr>
  </property>
</Properties>
</file>