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B062F8">
      <w:pPr>
        <w:spacing w:line="540" w:lineRule="exact"/>
        <w:ind w:left="560" w:firstLine="0" w:firstLineChars="0"/>
        <w:rPr>
          <w:bCs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江苏海洋大学硕士学位论文格式检测服务</w:t>
      </w:r>
      <w:r>
        <w:rPr>
          <w:rFonts w:hint="eastAsia"/>
          <w:bCs/>
          <w:sz w:val="28"/>
          <w:szCs w:val="28"/>
        </w:rPr>
        <w:t>技术</w:t>
      </w:r>
      <w:r>
        <w:rPr>
          <w:rFonts w:hint="eastAsia"/>
          <w:bCs/>
          <w:sz w:val="28"/>
          <w:szCs w:val="28"/>
          <w:lang w:val="en-US" w:eastAsia="zh-CN"/>
        </w:rPr>
        <w:t>参数</w:t>
      </w:r>
      <w:r>
        <w:rPr>
          <w:rFonts w:hint="eastAsia"/>
          <w:bCs/>
          <w:sz w:val="28"/>
          <w:szCs w:val="28"/>
        </w:rPr>
        <w:t>要求：</w:t>
      </w:r>
      <w:bookmarkStart w:id="8" w:name="_GoBack"/>
      <w:bookmarkEnd w:id="8"/>
    </w:p>
    <w:tbl>
      <w:tblPr>
        <w:tblStyle w:val="4"/>
        <w:tblpPr w:leftFromText="180" w:rightFromText="180" w:vertAnchor="text" w:horzAnchor="page" w:tblpX="1619" w:tblpY="102"/>
        <w:tblOverlap w:val="never"/>
        <w:tblW w:w="8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293"/>
        <w:gridCol w:w="5812"/>
        <w:gridCol w:w="567"/>
        <w:gridCol w:w="580"/>
      </w:tblGrid>
      <w:tr w14:paraId="4C23D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tblHeader/>
        </w:trPr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CD1D1B6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66F249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服务名称</w:t>
            </w:r>
          </w:p>
        </w:tc>
        <w:tc>
          <w:tcPr>
            <w:tcW w:w="5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6992B7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技术指标及功能说明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2E592A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61F5C47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</w:tr>
      <w:tr w14:paraId="4C349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E3F06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47564">
            <w:pPr>
              <w:adjustRightInd w:val="0"/>
              <w:snapToGrid w:val="0"/>
              <w:spacing w:line="360" w:lineRule="auto"/>
              <w:ind w:firstLine="0" w:firstLineChars="0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4"/>
              </w:rPr>
              <w:t>研究生学位论文</w:t>
            </w:r>
            <w:r>
              <w:rPr>
                <w:rFonts w:hint="eastAsia" w:ascii="宋体" w:hAnsi="宋体" w:eastAsia="宋体" w:cs="Times New Roman"/>
                <w:szCs w:val="24"/>
                <w:lang w:eastAsia="zh-CN"/>
              </w:rPr>
              <w:t>格式规范</w:t>
            </w:r>
            <w:r>
              <w:rPr>
                <w:rFonts w:hint="eastAsia" w:ascii="宋体" w:hAnsi="宋体" w:eastAsia="宋体" w:cs="Times New Roman"/>
                <w:szCs w:val="24"/>
              </w:rPr>
              <w:t>检测服务</w:t>
            </w:r>
          </w:p>
        </w:tc>
        <w:tc>
          <w:tcPr>
            <w:tcW w:w="5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83740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一、</w:t>
            </w:r>
            <w:r>
              <w:rPr>
                <w:sz w:val="21"/>
                <w:szCs w:val="21"/>
              </w:rPr>
              <w:t xml:space="preserve">基本功能要求 </w:t>
            </w:r>
          </w:p>
          <w:p w14:paraId="3D2C5563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要求服务方安严格按照学校提供的论文撰写规范标准要求，设计相关服务程序系统，为研究生院提供论文</w:t>
            </w:r>
            <w:r>
              <w:rPr>
                <w:rFonts w:hint="eastAsia"/>
                <w:sz w:val="21"/>
                <w:szCs w:val="21"/>
                <w:lang w:eastAsia="zh-CN"/>
              </w:rPr>
              <w:t>格式规范</w:t>
            </w:r>
            <w:r>
              <w:rPr>
                <w:rFonts w:hint="eastAsia"/>
                <w:sz w:val="21"/>
                <w:szCs w:val="21"/>
              </w:rPr>
              <w:t>检测服务，学生可通过平台提交论文进行</w:t>
            </w:r>
            <w:r>
              <w:rPr>
                <w:rFonts w:hint="eastAsia"/>
                <w:sz w:val="21"/>
                <w:szCs w:val="21"/>
                <w:lang w:eastAsia="zh-CN"/>
              </w:rPr>
              <w:t>格式规范</w:t>
            </w:r>
            <w:r>
              <w:rPr>
                <w:rFonts w:hint="eastAsia"/>
                <w:sz w:val="21"/>
                <w:szCs w:val="21"/>
              </w:rPr>
              <w:t xml:space="preserve">检测，并出具检测报告，以便学生对照进行论文格式整改，具体内容如下： </w:t>
            </w:r>
          </w:p>
          <w:p w14:paraId="68D48736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1、智能识别封面、扉页、摘要、目录、正文、致谢、参考文献等论文结构； </w:t>
            </w:r>
          </w:p>
          <w:p w14:paraId="3C541110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2、自动识别学位论文的文本、图片、表格、图题、表题、公式等元素，并判断字体、段落格式等是否符合论文撰写规范； </w:t>
            </w:r>
          </w:p>
          <w:p w14:paraId="001F629E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3、能够判断论文参考文献是否符合 GB7714-2015 信息与文献-参考文献著录规则； </w:t>
            </w:r>
          </w:p>
          <w:p w14:paraId="4F16E5AB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4、自动检测字体、段落格式、页眉页脚、图形、表格、公式、批注、页面设置、标点等排版错误； </w:t>
            </w:r>
          </w:p>
          <w:p w14:paraId="3C75B9A6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5、支持中英文错误批注；支持留学生用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马来语、</w:t>
            </w:r>
            <w:r>
              <w:rPr>
                <w:rFonts w:hint="eastAsia"/>
                <w:sz w:val="21"/>
                <w:szCs w:val="21"/>
              </w:rPr>
              <w:t>越南语、泰语等语言写作的论文检测。</w:t>
            </w:r>
          </w:p>
          <w:p w14:paraId="0B5FE615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6、能够将发现的错误以批注的形式在文档中标识出来，指导学生修改； </w:t>
            </w:r>
          </w:p>
          <w:p w14:paraId="790A5FC2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7、导入学校申请毕业的毕业生名单后，发送通知，学生可自己登陆平台检测、下载报告并依据报告反复修改； </w:t>
            </w:r>
          </w:p>
          <w:p w14:paraId="1E089528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8、能够对全校论文进行大数据分析，包括规范性、篇幅、结构、关键词热度等； </w:t>
            </w:r>
          </w:p>
          <w:p w14:paraId="4A4EE6CA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9、支持学校现有的研究生论文格式模板。 </w:t>
            </w:r>
          </w:p>
          <w:p w14:paraId="4FF8A341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bookmarkStart w:id="0" w:name="_Toc21816"/>
            <w:r>
              <w:rPr>
                <w:rFonts w:hint="eastAsia"/>
                <w:sz w:val="21"/>
                <w:szCs w:val="21"/>
              </w:rPr>
              <w:t>二、</w:t>
            </w:r>
            <w:r>
              <w:rPr>
                <w:sz w:val="21"/>
                <w:szCs w:val="21"/>
              </w:rPr>
              <w:t>技术要求</w:t>
            </w:r>
            <w:bookmarkEnd w:id="0"/>
          </w:p>
          <w:p w14:paraId="109BE695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1、按照学校提供的论文撰写规范标准要求，设计相关服务程序系统，安排技术工程师配置，并和学校进行测试；</w:t>
            </w:r>
          </w:p>
          <w:p w14:paraId="47E9A02B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2、检测指标体系专业、全面，检测结果清晰、准确； </w:t>
            </w:r>
          </w:p>
          <w:p w14:paraId="68B27ABE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3、支持多格式的文献自动解析功能（doc、docx、pdf 等格式文档自动处理）； </w:t>
            </w:r>
          </w:p>
          <w:p w14:paraId="221BC529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4、支持中文、英文、日文、德语、西班牙语等不同语言撰写的论文检测，为留学生提供英文的检测报告和错误批注。</w:t>
            </w:r>
          </w:p>
          <w:p w14:paraId="1E676C38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>
              <w:rPr>
                <w:rFonts w:hint="eastAsia"/>
                <w:sz w:val="21"/>
                <w:szCs w:val="21"/>
              </w:rPr>
              <w:t>、支持单篇论文提交检测，也支持研究生院、学院秘书或教师把多篇论文压缩后批量检测。</w:t>
            </w:r>
          </w:p>
          <w:p w14:paraId="00AF6E46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>
              <w:rPr>
                <w:rFonts w:hint="eastAsia"/>
                <w:sz w:val="21"/>
                <w:szCs w:val="21"/>
              </w:rPr>
              <w:t xml:space="preserve">、可以按作者、出版年、出版社、出版地、参考文献类型等维度对参考文献进行分析。 </w:t>
            </w:r>
          </w:p>
          <w:p w14:paraId="6526234F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>
              <w:rPr>
                <w:rFonts w:hint="eastAsia"/>
                <w:sz w:val="21"/>
                <w:szCs w:val="21"/>
              </w:rPr>
              <w:t>、可以自动给指导教师发送邮件，通知学生检测是否合格；</w:t>
            </w:r>
          </w:p>
          <w:p w14:paraId="03256A2A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>
              <w:rPr>
                <w:rFonts w:hint="eastAsia"/>
                <w:sz w:val="21"/>
                <w:szCs w:val="21"/>
              </w:rPr>
              <w:t xml:space="preserve">、支持多级管理，相关人员随时可以查看管理范围内合格、不合格和未检测学生数量并导出名单； </w:t>
            </w:r>
          </w:p>
          <w:p w14:paraId="4D6691BE">
            <w:pPr>
              <w:spacing w:line="300" w:lineRule="auto"/>
              <w:ind w:firstLine="420"/>
              <w:rPr>
                <w:rFonts w:hint="eastAsia"/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>
              <w:rPr>
                <w:rFonts w:hint="eastAsia"/>
                <w:sz w:val="21"/>
                <w:szCs w:val="21"/>
              </w:rPr>
              <w:t xml:space="preserve">、每届学生检测结束，平台出具论文大数据分析报告，按学院、专业、指导教师等维度对论文规范性、篇幅、关键词热度、参考文献时效性等进行分析，帮助学校掌握各专业论文情况； </w:t>
            </w:r>
          </w:p>
          <w:p w14:paraId="3BA96574">
            <w:pPr>
              <w:spacing w:line="300" w:lineRule="auto"/>
              <w:ind w:firstLine="42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10、能自动从学位论文中提取论文题目、导师姓名、学生姓名、关键词等信息，并与全国博士硕士统一留存信息比对，发现不一致项；</w:t>
            </w:r>
          </w:p>
          <w:p w14:paraId="154F7C11">
            <w:pPr>
              <w:spacing w:line="300" w:lineRule="auto"/>
              <w:ind w:firstLine="420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11、能自动遮蔽匿名送审或抽检的学位论文中学校名称、校徽、水印、学生姓名、导师姓名等所有敏感信息，满足送审或抽检要求。</w:t>
            </w:r>
          </w:p>
          <w:p w14:paraId="72F2009C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/>
                <w:sz w:val="21"/>
                <w:szCs w:val="21"/>
              </w:rPr>
              <w:t xml:space="preserve">、系统门户能够设置学校的 Logo，学校名称，系统名称，文字的颜色，名称的布局和字体颜色； </w:t>
            </w:r>
          </w:p>
          <w:p w14:paraId="490E68AB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/>
                <w:sz w:val="21"/>
                <w:szCs w:val="21"/>
              </w:rPr>
              <w:t xml:space="preserve">、系统应具备开放的标准化体系结构，可方便地与其它系统衔接，实现与其它业务系统间的无缝集成。应易于扩展和升级，能够根据用户的具体需求快速、方便地定制、扩展原系统的功能。 </w:t>
            </w:r>
          </w:p>
          <w:p w14:paraId="48D235AC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bookmarkStart w:id="1" w:name="_Toc7208"/>
            <w:r>
              <w:rPr>
                <w:rFonts w:hint="eastAsia"/>
                <w:sz w:val="21"/>
                <w:szCs w:val="21"/>
              </w:rPr>
              <w:t xml:space="preserve">三、 </w:t>
            </w:r>
            <w:r>
              <w:rPr>
                <w:sz w:val="21"/>
                <w:szCs w:val="21"/>
              </w:rPr>
              <w:t>运行服务保障</w:t>
            </w:r>
            <w:r>
              <w:rPr>
                <w:rFonts w:hint="eastAsia"/>
                <w:sz w:val="21"/>
                <w:szCs w:val="21"/>
              </w:rPr>
              <w:t>要求</w:t>
            </w:r>
            <w:bookmarkEnd w:id="1"/>
            <w:r>
              <w:rPr>
                <w:sz w:val="21"/>
                <w:szCs w:val="21"/>
              </w:rPr>
              <w:t xml:space="preserve"> </w:t>
            </w:r>
          </w:p>
          <w:p w14:paraId="4361E140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1、负责平台功能的维护和优化，解决检测过程中遇到的技术问题； </w:t>
            </w:r>
          </w:p>
          <w:p w14:paraId="1D0B1EF5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2、提供面向论文</w:t>
            </w:r>
            <w:r>
              <w:rPr>
                <w:rFonts w:hint="eastAsia"/>
                <w:sz w:val="21"/>
                <w:szCs w:val="21"/>
                <w:lang w:eastAsia="zh-CN"/>
              </w:rPr>
              <w:t>格式规范</w:t>
            </w:r>
            <w:r>
              <w:rPr>
                <w:rFonts w:hint="eastAsia"/>
                <w:sz w:val="21"/>
                <w:szCs w:val="21"/>
              </w:rPr>
              <w:t xml:space="preserve">检测的客服系统，支持常见问题的快速解答，保证问题的及时回复； </w:t>
            </w:r>
          </w:p>
          <w:p w14:paraId="4EAF5427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3、提供 7×24 小时的技术服务，对于用户的服务请求，在非工作时间内出现故障，在接报后3小时内响应，在工作时间内出现故障，在接报后1小时内响应； </w:t>
            </w:r>
          </w:p>
          <w:p w14:paraId="373C2A05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4、建立起信息反馈渠道获取各种信息，接受投诉和沟通，采取相应的纠正(预防)或改进措施； </w:t>
            </w:r>
          </w:p>
          <w:p w14:paraId="1A24D118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>
              <w:rPr>
                <w:rFonts w:hint="eastAsia"/>
                <w:sz w:val="21"/>
                <w:szCs w:val="21"/>
              </w:rPr>
              <w:t>、安全性</w:t>
            </w:r>
          </w:p>
          <w:p w14:paraId="11763FF1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（1）从法律角度，服务方需与学校签订正式的服务协议，明确论文知识产权归属和服务方的保密义务； </w:t>
            </w:r>
          </w:p>
          <w:p w14:paraId="007FB933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（2）学生上传到系统的论文，平台不得对其进行出租、销售、转让； </w:t>
            </w:r>
          </w:p>
          <w:p w14:paraId="3EF0994B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（3）服务方允许学生自行删除上传到平台的论文和相关检测报告，并自动删除留存时间超过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指定时长</w:t>
            </w:r>
            <w:r>
              <w:rPr>
                <w:rFonts w:hint="eastAsia"/>
                <w:sz w:val="21"/>
                <w:szCs w:val="21"/>
              </w:rPr>
              <w:t xml:space="preserve">的论文和相关检测报告文件； </w:t>
            </w:r>
          </w:p>
          <w:p w14:paraId="2F359BD4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（4）提供对加密 zip 检测的功能，学生可以把论文加密压缩后上传，平台可以解压检测； </w:t>
            </w:r>
          </w:p>
          <w:p w14:paraId="36A7E131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（5）服务方内部需对接触论文的人员有严格的审计机制，与相关工作人员签订保密协议，保证对论文的所有查看都有日志可以跟踪。</w:t>
            </w:r>
          </w:p>
          <w:p w14:paraId="6176F216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>
              <w:rPr>
                <w:rFonts w:hint="eastAsia"/>
                <w:sz w:val="21"/>
                <w:szCs w:val="21"/>
              </w:rPr>
              <w:t>、学位论文</w:t>
            </w:r>
            <w:r>
              <w:rPr>
                <w:rFonts w:hint="eastAsia"/>
                <w:sz w:val="21"/>
                <w:szCs w:val="21"/>
                <w:lang w:eastAsia="zh-CN"/>
              </w:rPr>
              <w:t>格式规范</w:t>
            </w:r>
            <w:r>
              <w:rPr>
                <w:rFonts w:hint="eastAsia"/>
                <w:sz w:val="21"/>
                <w:szCs w:val="21"/>
              </w:rPr>
              <w:t xml:space="preserve">检测服务按年收取服务费，服务期内学生、老师使用无限制。 </w:t>
            </w:r>
          </w:p>
          <w:p w14:paraId="2B32154D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bookmarkStart w:id="2" w:name="_Toc658"/>
            <w:r>
              <w:rPr>
                <w:rFonts w:hint="eastAsia"/>
                <w:sz w:val="21"/>
                <w:szCs w:val="21"/>
              </w:rPr>
              <w:t>四、</w:t>
            </w:r>
            <w:r>
              <w:rPr>
                <w:sz w:val="21"/>
                <w:szCs w:val="21"/>
              </w:rPr>
              <w:t>研究生</w:t>
            </w:r>
            <w:r>
              <w:rPr>
                <w:rFonts w:hint="eastAsia"/>
                <w:sz w:val="21"/>
                <w:szCs w:val="21"/>
              </w:rPr>
              <w:t>学位</w:t>
            </w:r>
            <w:r>
              <w:rPr>
                <w:sz w:val="21"/>
                <w:szCs w:val="21"/>
              </w:rPr>
              <w:t>论文</w:t>
            </w:r>
            <w:r>
              <w:rPr>
                <w:rFonts w:hint="eastAsia"/>
                <w:sz w:val="21"/>
                <w:szCs w:val="21"/>
                <w:lang w:eastAsia="zh-CN"/>
              </w:rPr>
              <w:t>格式规范</w:t>
            </w:r>
            <w:r>
              <w:rPr>
                <w:sz w:val="21"/>
                <w:szCs w:val="21"/>
              </w:rPr>
              <w:t>检测技术要求</w:t>
            </w:r>
            <w:bookmarkEnd w:id="2"/>
          </w:p>
          <w:p w14:paraId="3B68069C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1、能够严格按照《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江苏海洋大学</w:t>
            </w:r>
            <w:r>
              <w:rPr>
                <w:rFonts w:hint="eastAsia"/>
                <w:sz w:val="21"/>
                <w:szCs w:val="21"/>
              </w:rPr>
              <w:t>研究生学位论文撰写规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定</w:t>
            </w:r>
            <w:r>
              <w:rPr>
                <w:rFonts w:hint="eastAsia"/>
                <w:sz w:val="21"/>
                <w:szCs w:val="21"/>
              </w:rPr>
              <w:t>》要求，对封面、摘要、目录、正文、参考文献等论文结构进行检测：</w:t>
            </w:r>
          </w:p>
          <w:p w14:paraId="20D26E22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（1）能够检测封面中论文标题上下位置、左右边距、字体字号、间距，段前段后、缩进是否符合学校要求，标题字数是否符合学校要求（英文单词按一个字计算）；</w:t>
            </w:r>
          </w:p>
          <w:p w14:paraId="43D7D190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</w:t>
            </w:r>
            <w:r>
              <w:rPr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）能够检测封面中各元素上下位置、左右边距、字体字号、间距，段前段后、缩进是否符合学校要求，填写部分是否在下划线居中，下划线是否缺失；</w:t>
            </w:r>
          </w:p>
          <w:p w14:paraId="498F5887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（3）能够检测题名页中各元素上下位置、左右边距、字体字号、间距，段前段后、缩进是否符合学校要求；</w:t>
            </w:r>
          </w:p>
          <w:p w14:paraId="1B441D5E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（4）能够检测独创性声明和论文使用授权说明的标题、文本的字体字号，缩进，间距，段前段后，段前段后等是否符合学校要求；</w:t>
            </w:r>
          </w:p>
          <w:p w14:paraId="1F276F53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（5）可检测中文摘要字数，关键词数量，关键词和关键词之间是否用逗号并空一格。可检测中英文关键词字体，字号，间距，段前段后、缩进是否符合学校要求。</w:t>
            </w:r>
          </w:p>
          <w:p w14:paraId="46E68444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（6）可检测插图索引、表格索引、符号对照表、缩略语对照表的标题和正文字体，字号，间距，段前段后、缩进是否符合学校要求；</w:t>
            </w:r>
          </w:p>
          <w:p w14:paraId="146CF8A0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7）可检测目录大标题和各级目录项的字体，字号，间距，段前段后、缩进是否符合学校要求；目录显示级别是否正确；目录前导符是否正确；目录是否显示了页码；目录页码是否右对齐；目录是否为最新；目录是否完备，如是否包括中文摘要，英文摘要，参考文献，致谢等；</w:t>
            </w:r>
          </w:p>
          <w:p w14:paraId="338AD663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（8）可准确识别文章一级标题、二级标题、三级标题以及条款段项，并检测字体，字号，间距，段前段后、缩进是否符合学校要求。可检测章节编号不连续错误；</w:t>
            </w:r>
          </w:p>
          <w:p w14:paraId="704F59A5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9）可准确识别正文中图形并检测是否有图题，图题位置、字体，字号，间距，段前段后、缩进是否符合学校要求等；支持用表格布局图片时的检测。能够检测只有图号缺乏图名的错误，支持英文图题、图注的识别和检测。支持图题和图形跨页分离的检测；</w:t>
            </w:r>
          </w:p>
          <w:p w14:paraId="2F2F0C4C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</w:t>
            </w:r>
            <w:r>
              <w:rPr>
                <w:sz w:val="21"/>
                <w:szCs w:val="21"/>
              </w:rPr>
              <w:t>0</w:t>
            </w:r>
            <w:r>
              <w:rPr>
                <w:rFonts w:hint="eastAsia"/>
                <w:sz w:val="21"/>
                <w:szCs w:val="21"/>
              </w:rPr>
              <w:t>）可准确识别正文中表格并检测是否有表题，表题位置、字体，字号，间距，段前段后、缩进是否符合学校要求；线型和粗细是否符合学校要求，能够提醒表格跨页的情况，支持续表的识别和检测，支持识别用表格布局图片或公式情况防止误报。支持英文表题、表注的识别和检测。支持表题和表格跨页分离的检测；</w:t>
            </w:r>
          </w:p>
          <w:p w14:paraId="3AF7951A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</w:t>
            </w:r>
            <w:r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）可识别正文中公式并检测编号是否连续，字体，字号，间距，段前段后、缩进是否符合学校要求，公式序号是否标注于该式所在行的最右边。可识别表格中编排的公式；</w:t>
            </w:r>
          </w:p>
          <w:p w14:paraId="471FE9F3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</w:t>
            </w:r>
            <w:r>
              <w:rPr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）可检测参考文献、致谢以及其它后置部分的字体，字号，间距，段前段后、缩进是否符合学校要求；</w:t>
            </w:r>
          </w:p>
          <w:p w14:paraId="2E5EF182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</w:t>
            </w:r>
            <w:r>
              <w:rPr>
                <w:sz w:val="21"/>
                <w:szCs w:val="21"/>
              </w:rPr>
              <w:t>3</w:t>
            </w:r>
            <w:r>
              <w:rPr>
                <w:rFonts w:hint="eastAsia"/>
                <w:sz w:val="21"/>
                <w:szCs w:val="21"/>
              </w:rPr>
              <w:t>）可检测页眉奇数页标题为章节题目，偶数页标题为“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江苏海洋</w:t>
            </w:r>
            <w:r>
              <w:rPr>
                <w:rFonts w:hint="eastAsia"/>
                <w:sz w:val="21"/>
                <w:szCs w:val="21"/>
              </w:rPr>
              <w:t>大学硕士学位论文”，页眉标题是否居中排列，字体，字号，间距，段前段后、缩进是否符合学校要求。</w:t>
            </w:r>
          </w:p>
          <w:p w14:paraId="0B63E717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</w:t>
            </w:r>
            <w:r>
              <w:rPr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）可检测前置部分是否用罗马数字标识，主体部分的页码用阿拉伯数字标识，字体，字号，间距，段前段后、缩进是否符合学校要求；</w:t>
            </w:r>
          </w:p>
          <w:p w14:paraId="12A50F30">
            <w:pPr>
              <w:tabs>
                <w:tab w:val="left" w:pos="397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</w:t>
            </w:r>
            <w:r>
              <w:rPr>
                <w:sz w:val="21"/>
                <w:szCs w:val="21"/>
              </w:rPr>
              <w:t>5</w:t>
            </w:r>
            <w:r>
              <w:rPr>
                <w:rFonts w:hint="eastAsia"/>
                <w:sz w:val="21"/>
                <w:szCs w:val="21"/>
              </w:rPr>
              <w:t>）可检测页面设置是否符合学校要求。</w:t>
            </w:r>
          </w:p>
          <w:p w14:paraId="61444FE5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2、能够根据学校要求，并结合《</w:t>
            </w:r>
            <w:r>
              <w:rPr>
                <w:rFonts w:hint="eastAsia"/>
                <w:color w:val="FF0000"/>
                <w:sz w:val="21"/>
                <w:szCs w:val="21"/>
              </w:rPr>
              <w:t>GB7714-20</w:t>
            </w:r>
            <w:r>
              <w:rPr>
                <w:rFonts w:hint="eastAsia"/>
                <w:color w:val="FF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21"/>
                <w:szCs w:val="21"/>
              </w:rPr>
              <w:t>5</w:t>
            </w:r>
            <w:r>
              <w:rPr>
                <w:rFonts w:hint="eastAsia"/>
                <w:sz w:val="21"/>
                <w:szCs w:val="21"/>
              </w:rPr>
              <w:t>信息与文献-参考文献著录规则》</w:t>
            </w:r>
            <w:r>
              <w:rPr>
                <w:rFonts w:hint="eastAsia"/>
                <w:color w:val="FF0000"/>
                <w:sz w:val="21"/>
                <w:szCs w:val="21"/>
              </w:rPr>
              <w:t>（GB/T7714-20</w:t>
            </w:r>
            <w:r>
              <w:rPr>
                <w:rFonts w:hint="eastAsia"/>
                <w:color w:val="FF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/>
                <w:color w:val="FF0000"/>
                <w:sz w:val="21"/>
                <w:szCs w:val="21"/>
              </w:rPr>
              <w:t>5）</w:t>
            </w:r>
            <w:r>
              <w:rPr>
                <w:rFonts w:hint="eastAsia"/>
                <w:sz w:val="21"/>
                <w:szCs w:val="21"/>
              </w:rPr>
              <w:t>检测论文文献是否符合规范，具体要求如下：</w:t>
            </w:r>
          </w:p>
          <w:p w14:paraId="14B9EB85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（1）支持尾注和脚注的检测；</w:t>
            </w:r>
          </w:p>
          <w:p w14:paraId="3B8D134D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（2）可检测参考文献数量；</w:t>
            </w:r>
          </w:p>
          <w:p w14:paraId="2E2A3D7A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（3）可识别并检测参考文献编号是否符合格式要求；</w:t>
            </w:r>
          </w:p>
          <w:p w14:paraId="25853642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（4）可识别并检测英文参考文献是否出现中文标点；</w:t>
            </w:r>
          </w:p>
          <w:p w14:paraId="027F39A7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（5）可识别并检测参考文献不能重复；</w:t>
            </w:r>
          </w:p>
          <w:p w14:paraId="65D36D91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（6）可识别并检测顺序编码制的参考文献编号是否连续；</w:t>
            </w:r>
          </w:p>
          <w:p w14:paraId="7B1F52D4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（7）可识别并检测参考文献在正文中是否被引用标注；</w:t>
            </w:r>
          </w:p>
          <w:p w14:paraId="7BB98938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（8）可识别并检测参考文献是否有参考文献类型标识；</w:t>
            </w:r>
          </w:p>
          <w:p w14:paraId="17D23370">
            <w:pPr>
              <w:tabs>
                <w:tab w:val="left" w:pos="420"/>
              </w:tabs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（9）可识别并检测参考文献格式，可检测缺项、多项、位置颠倒、标点错误等；</w:t>
            </w:r>
          </w:p>
          <w:p w14:paraId="760C2088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3、支持检测论文结构是否完备，比如封面，摘要，目录，正文，参考文献，致谢。</w:t>
            </w:r>
          </w:p>
          <w:p w14:paraId="4A49013C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4、可检测论文各前置部分、正文，后置部分各模块先后顺序是否如规范所示。</w:t>
            </w:r>
          </w:p>
          <w:p w14:paraId="6DC13023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5、可识别并检测文本中是否出现易混淆字，比如“接收”和“接受”，“必需”和“必须”，“标明”和“表明”，“反映”和“反应”，“在”和“再”。</w:t>
            </w:r>
          </w:p>
          <w:p w14:paraId="2760AAA6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6、可识别并检测文本中是否出现错别字，比如辨（辩）析，辩（辨）证。</w:t>
            </w:r>
          </w:p>
          <w:p w14:paraId="427F6691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7、可识别并检测文本中是否出现全角阿拉伯数字（阿拉伯数字应全部半角）；段落是否以逗号结束；是否出现连续的标点符号。</w:t>
            </w:r>
          </w:p>
          <w:p w14:paraId="2C8E8E5C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8、可检测论文总字数和总页数；正文总字数和总页数；绪论字数，结论字数，致谢字数。</w:t>
            </w:r>
          </w:p>
          <w:p w14:paraId="73F83669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9、可自动收集学生科研成果，按论文、专利、项目等分类汇集成Excel表格。</w:t>
            </w:r>
          </w:p>
          <w:p w14:paraId="144C55EE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>
              <w:rPr>
                <w:rFonts w:hint="eastAsia"/>
                <w:sz w:val="21"/>
                <w:szCs w:val="21"/>
              </w:rPr>
              <w:t>、可检测盲审论文是否遮蔽了学生和导师姓名，学校名称等。</w:t>
            </w:r>
          </w:p>
          <w:p w14:paraId="4F8941A2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、研究生院可根据需要，对规范参数和错误严重级别提出调整修改意见。</w:t>
            </w:r>
          </w:p>
          <w:p w14:paraId="5FA7CA34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bookmarkStart w:id="3" w:name="_Toc32708"/>
            <w:r>
              <w:rPr>
                <w:rFonts w:hint="eastAsia"/>
                <w:sz w:val="21"/>
                <w:szCs w:val="21"/>
              </w:rPr>
              <w:t>五、</w:t>
            </w:r>
            <w:r>
              <w:rPr>
                <w:sz w:val="21"/>
                <w:szCs w:val="21"/>
              </w:rPr>
              <w:t>论文总体检测分析报告技术要求</w:t>
            </w:r>
            <w:bookmarkEnd w:id="3"/>
          </w:p>
          <w:p w14:paraId="43050B60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1、每届论文工作结束后（通常为夏季7月份），平台需为学校提供总体检测分析报告。</w:t>
            </w:r>
          </w:p>
          <w:p w14:paraId="33923D97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2、可按学位级别、学院、系、专业、班级、指导教师等维度分析论文</w:t>
            </w:r>
            <w:r>
              <w:rPr>
                <w:rFonts w:hint="eastAsia"/>
                <w:sz w:val="21"/>
                <w:szCs w:val="21"/>
                <w:lang w:eastAsia="zh-CN"/>
              </w:rPr>
              <w:t>格式规范</w:t>
            </w:r>
            <w:r>
              <w:rPr>
                <w:rFonts w:hint="eastAsia"/>
                <w:sz w:val="21"/>
                <w:szCs w:val="21"/>
              </w:rPr>
              <w:t>性，包括优秀、合格、不合格的人数，比率等。</w:t>
            </w:r>
          </w:p>
          <w:p w14:paraId="0C5189EC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3、可按学位级别、学院、系、专业、班级、指导教师等维度分析论文页数，字数，参考文献数量等。</w:t>
            </w:r>
          </w:p>
          <w:p w14:paraId="2F24E1D3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4、可以提取论文摘要后的关键词，按学院以热力图形式呈现，方便学校掌握论文研究方向总体趋势。</w:t>
            </w:r>
          </w:p>
          <w:p w14:paraId="34F8333F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bookmarkStart w:id="4" w:name="_Toc8718"/>
            <w:r>
              <w:rPr>
                <w:rFonts w:hint="eastAsia"/>
                <w:sz w:val="21"/>
                <w:szCs w:val="21"/>
              </w:rPr>
              <w:t xml:space="preserve">六、 </w:t>
            </w:r>
            <w:r>
              <w:rPr>
                <w:sz w:val="21"/>
                <w:szCs w:val="21"/>
              </w:rPr>
              <w:t>学生操作技术要求</w:t>
            </w:r>
            <w:bookmarkEnd w:id="4"/>
          </w:p>
          <w:p w14:paraId="30D2B854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1、学生可通过账号登录平台选择合适的模板，提交论文检测，下载检测报告，对照报告修改错误。</w:t>
            </w:r>
          </w:p>
          <w:p w14:paraId="1EF62A16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2、学生可订阅平台微信通知，报告可以下载时平台可以微信通知学生。</w:t>
            </w:r>
          </w:p>
          <w:p w14:paraId="64B950FA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3、学生可以选择需要中文检测报告还是英文检测报告。</w:t>
            </w:r>
          </w:p>
          <w:p w14:paraId="34646F7F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4、学生可以选择中文操作界面还是英文操作界面。</w:t>
            </w:r>
          </w:p>
          <w:p w14:paraId="0C162B77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5、学生可以手动操作自主删除论文原稿和报告。</w:t>
            </w:r>
          </w:p>
          <w:p w14:paraId="498E1CEB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6、学生可以查看平台通知，下载相关资料。</w:t>
            </w:r>
          </w:p>
          <w:p w14:paraId="6BF82F0C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7、学生可以自主修改密码，并通过邮箱，短信进行个人身份认证。</w:t>
            </w:r>
          </w:p>
          <w:p w14:paraId="2B31CABC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bookmarkStart w:id="5" w:name="_Toc8769"/>
            <w:r>
              <w:rPr>
                <w:rFonts w:hint="eastAsia"/>
                <w:sz w:val="21"/>
                <w:szCs w:val="21"/>
              </w:rPr>
              <w:t>七、 教</w:t>
            </w:r>
            <w:r>
              <w:rPr>
                <w:sz w:val="21"/>
                <w:szCs w:val="21"/>
              </w:rPr>
              <w:t>师操作技术要求</w:t>
            </w:r>
            <w:bookmarkEnd w:id="5"/>
          </w:p>
          <w:p w14:paraId="303B4D03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1、教师可通过账号登录平台，查看所指导学生的检测情况。</w:t>
            </w:r>
          </w:p>
          <w:p w14:paraId="6E064733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2、教师可批量检测所指导学生的论文。</w:t>
            </w:r>
          </w:p>
          <w:p w14:paraId="01E66AF0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3、教师可以查看平台通知，下载相关资料。</w:t>
            </w:r>
          </w:p>
          <w:p w14:paraId="7FA132F4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bookmarkStart w:id="6" w:name="_Toc18949"/>
            <w:r>
              <w:rPr>
                <w:rFonts w:hint="eastAsia"/>
                <w:sz w:val="21"/>
                <w:szCs w:val="21"/>
              </w:rPr>
              <w:t>八、学校</w:t>
            </w:r>
            <w:r>
              <w:rPr>
                <w:sz w:val="21"/>
                <w:szCs w:val="21"/>
              </w:rPr>
              <w:t>管理员操作技术要求</w:t>
            </w:r>
            <w:bookmarkEnd w:id="6"/>
          </w:p>
          <w:p w14:paraId="662CBC91">
            <w:pPr>
              <w:spacing w:line="300" w:lineRule="auto"/>
              <w:ind w:firstLine="409" w:firstLineChars="195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1、学生管理</w:t>
            </w:r>
          </w:p>
          <w:p w14:paraId="5D4AF63E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可以添加、修改、删除、导入、导出学生信息，支持批量操作；支持自动提取学号N位并组合学生姓名拼音产生密码。</w:t>
            </w:r>
          </w:p>
          <w:p w14:paraId="1FD5941F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2、教师管理</w:t>
            </w:r>
          </w:p>
          <w:p w14:paraId="5FA03CCE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可以添加、修改、删除、导入、导出教师信息，支持批量操作。</w:t>
            </w:r>
          </w:p>
          <w:p w14:paraId="214998FC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3、师生配对管理</w:t>
            </w:r>
          </w:p>
          <w:p w14:paraId="1F7EAF79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可以给学生分配导师，或者给导师分配学生。</w:t>
            </w:r>
          </w:p>
          <w:p w14:paraId="5A1E8A13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、通知公告</w:t>
            </w:r>
          </w:p>
          <w:p w14:paraId="60A3E1ED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（1）可以添加并发布公告，支持附件；</w:t>
            </w:r>
          </w:p>
          <w:p w14:paraId="0A1F37F0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（2）可以设置公告显示范围是全校还是某个学院；</w:t>
            </w:r>
          </w:p>
          <w:p w14:paraId="6AB1A8CF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（3）可以设置公告是否需要登录才能查阅，是否在门户上显示。</w:t>
            </w:r>
          </w:p>
          <w:p w14:paraId="3CA5F700">
            <w:pPr>
              <w:pStyle w:val="3"/>
              <w:spacing w:line="300" w:lineRule="auto"/>
              <w:ind w:firstLine="422"/>
              <w:rPr>
                <w:sz w:val="21"/>
                <w:szCs w:val="21"/>
              </w:rPr>
            </w:pPr>
            <w:bookmarkStart w:id="7" w:name="_Toc14203"/>
            <w:r>
              <w:rPr>
                <w:rFonts w:hint="eastAsia"/>
                <w:sz w:val="21"/>
                <w:szCs w:val="21"/>
              </w:rPr>
              <w:t>九、安全性和稳定性</w:t>
            </w:r>
            <w:bookmarkEnd w:id="7"/>
          </w:p>
          <w:p w14:paraId="460180C2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1、系统应提供全面、有效的系统安全机制，符合学校工作要求，应具备强大的容错、数据恢复与稳定运行的能力。应经过完善的设计和充分的测试运行，具备在较长时间内连续无故障的运行能力。</w:t>
            </w:r>
          </w:p>
          <w:p w14:paraId="42B57070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2、系统应具有高并发机制，可支持</w:t>
            </w:r>
            <w:r>
              <w:rPr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万学生在比较集中的时间内检测。</w:t>
            </w:r>
          </w:p>
          <w:p w14:paraId="45A749FC">
            <w:pPr>
              <w:spacing w:line="300" w:lineRule="auto"/>
              <w:ind w:firstLine="42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>
              <w:rPr>
                <w:rFonts w:hint="eastAsia"/>
                <w:sz w:val="21"/>
                <w:szCs w:val="21"/>
              </w:rPr>
              <w:t>、系统应支持Word，Wps，pdf各种版本编辑的文档检测，支持主流的Chrome，Firefox，IE11以上浏览器。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E2575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FDC56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</w:t>
            </w:r>
          </w:p>
        </w:tc>
      </w:tr>
    </w:tbl>
    <w:p w14:paraId="18E317DA">
      <w:pPr>
        <w:spacing w:line="540" w:lineRule="exact"/>
        <w:ind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  <w:lang w:val="en-US" w:eastAsia="zh-CN"/>
        </w:rPr>
        <w:t>二</w:t>
      </w:r>
      <w:r>
        <w:rPr>
          <w:rFonts w:hint="eastAsia"/>
          <w:bCs/>
          <w:sz w:val="28"/>
          <w:szCs w:val="28"/>
        </w:rPr>
        <w:t>、报价要求</w:t>
      </w:r>
    </w:p>
    <w:p w14:paraId="5B16B4A6">
      <w:pPr>
        <w:spacing w:line="540" w:lineRule="exact"/>
        <w:ind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1.报价价格包括检测服务、培训辅导、售后服务、全额含税发票、合同实施过程中预见和不可预见的费用等。成交人应充分考虑影响报价的各种因素和风险，采购人不再支付中标金额以外的任何费用。</w:t>
      </w:r>
    </w:p>
    <w:p w14:paraId="111D35D3">
      <w:pPr>
        <w:spacing w:line="540" w:lineRule="exact"/>
        <w:ind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2.报价人必须对所有采购内容或服务进行整体响应，任何只对部分内容进行响应都被视为无效报价。</w:t>
      </w:r>
    </w:p>
    <w:p w14:paraId="28A69A3F">
      <w:pPr>
        <w:spacing w:line="540" w:lineRule="exact"/>
        <w:ind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3.所报总价不能超过本项目的采购预算价，否则将被视为无效报价。</w:t>
      </w:r>
    </w:p>
    <w:p w14:paraId="1A783E60">
      <w:pPr>
        <w:spacing w:line="540" w:lineRule="exact"/>
        <w:ind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4.需求书中条款未响应或不满足，报价将被视为无效报价。</w:t>
      </w:r>
    </w:p>
    <w:p w14:paraId="11FDBA66">
      <w:pPr>
        <w:spacing w:line="540" w:lineRule="exact"/>
        <w:ind w:firstLine="560"/>
        <w:rPr>
          <w:rFonts w:hAnsi="Arial"/>
          <w:spacing w:val="-6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三</w:t>
      </w:r>
      <w:r>
        <w:rPr>
          <w:rFonts w:hint="eastAsia"/>
          <w:sz w:val="28"/>
          <w:szCs w:val="28"/>
        </w:rPr>
        <w:t>、服务时间及地点</w:t>
      </w:r>
    </w:p>
    <w:p w14:paraId="4DE4A682">
      <w:pPr>
        <w:tabs>
          <w:tab w:val="left" w:pos="426"/>
          <w:tab w:val="left" w:pos="900"/>
        </w:tabs>
        <w:adjustRightInd w:val="0"/>
        <w:snapToGrid w:val="0"/>
        <w:spacing w:line="480" w:lineRule="exact"/>
        <w:ind w:firstLine="536"/>
        <w:rPr>
          <w:rFonts w:hint="eastAsia" w:ascii="Arial" w:hAnsi="宋体" w:cs="Arial"/>
          <w:sz w:val="28"/>
          <w:szCs w:val="28"/>
        </w:rPr>
      </w:pPr>
      <w:r>
        <w:rPr>
          <w:spacing w:val="-6"/>
          <w:sz w:val="28"/>
          <w:szCs w:val="28"/>
        </w:rPr>
        <w:t>1.</w:t>
      </w:r>
      <w:r>
        <w:rPr>
          <w:rFonts w:hint="eastAsia"/>
          <w:spacing w:val="-6"/>
          <w:sz w:val="28"/>
          <w:szCs w:val="28"/>
        </w:rPr>
        <w:t>服务时间：</w:t>
      </w:r>
      <w:r>
        <w:rPr>
          <w:rFonts w:hint="eastAsia" w:ascii="Arial" w:hAnsi="宋体" w:cs="Arial"/>
          <w:sz w:val="28"/>
          <w:szCs w:val="28"/>
        </w:rPr>
        <w:t>服务期限为</w:t>
      </w:r>
      <w:r>
        <w:rPr>
          <w:rFonts w:hint="eastAsia" w:ascii="Arial" w:hAnsi="宋体" w:cs="Arial"/>
          <w:sz w:val="28"/>
          <w:szCs w:val="28"/>
          <w:lang w:val="en-US" w:eastAsia="zh-CN"/>
        </w:rPr>
        <w:t>三年</w:t>
      </w:r>
      <w:r>
        <w:rPr>
          <w:rFonts w:hint="eastAsia" w:ascii="Arial" w:hAnsi="宋体" w:cs="Arial"/>
          <w:sz w:val="28"/>
          <w:szCs w:val="28"/>
        </w:rPr>
        <w:t>，自合同生效之日起计算。</w:t>
      </w:r>
    </w:p>
    <w:p w14:paraId="57D49FB1">
      <w:pPr>
        <w:spacing w:line="540" w:lineRule="exact"/>
        <w:ind w:firstLine="536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2</w:t>
      </w:r>
      <w:r>
        <w:rPr>
          <w:rFonts w:hint="eastAsia"/>
          <w:spacing w:val="-6"/>
          <w:sz w:val="28"/>
          <w:szCs w:val="28"/>
        </w:rPr>
        <w:t>.服务地点：采购人指定地点。</w:t>
      </w:r>
    </w:p>
    <w:p w14:paraId="4B5299CF">
      <w:pPr>
        <w:spacing w:line="540" w:lineRule="exact"/>
        <w:ind w:firstLine="536"/>
        <w:rPr>
          <w:rFonts w:hAnsi="Arial"/>
          <w:spacing w:val="-6"/>
          <w:sz w:val="28"/>
          <w:szCs w:val="28"/>
        </w:rPr>
      </w:pPr>
      <w:r>
        <w:rPr>
          <w:rFonts w:hint="eastAsia"/>
          <w:spacing w:val="-6"/>
          <w:sz w:val="28"/>
          <w:szCs w:val="28"/>
          <w:lang w:val="en-US" w:eastAsia="zh-CN"/>
        </w:rPr>
        <w:t>四</w:t>
      </w:r>
      <w:r>
        <w:rPr>
          <w:rFonts w:hint="eastAsia"/>
          <w:spacing w:val="-6"/>
          <w:sz w:val="28"/>
          <w:szCs w:val="28"/>
        </w:rPr>
        <w:t>、质量保证和售后服务</w:t>
      </w:r>
    </w:p>
    <w:p w14:paraId="3AE36AF9">
      <w:pPr>
        <w:spacing w:line="540" w:lineRule="exact"/>
        <w:ind w:firstLine="536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1. </w:t>
      </w:r>
      <w:r>
        <w:rPr>
          <w:rFonts w:hint="eastAsia"/>
          <w:spacing w:val="-6"/>
          <w:sz w:val="28"/>
          <w:szCs w:val="28"/>
        </w:rPr>
        <w:t>成交人对如何使用服务系统提供免费培训。</w:t>
      </w:r>
    </w:p>
    <w:p w14:paraId="418BA4F4">
      <w:pPr>
        <w:spacing w:line="540" w:lineRule="exact"/>
        <w:ind w:firstLine="536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2</w:t>
      </w:r>
      <w:r>
        <w:rPr>
          <w:rFonts w:hint="eastAsia"/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>
        <w:rPr>
          <w:rFonts w:hint="eastAsia"/>
          <w:spacing w:val="-6"/>
          <w:sz w:val="28"/>
          <w:szCs w:val="28"/>
        </w:rPr>
        <w:t>在服务期内，成交人应定期进行系统运营维护，保证系统持续可靠稳定运行。</w:t>
      </w:r>
    </w:p>
    <w:p w14:paraId="2543FDF5">
      <w:pPr>
        <w:spacing w:line="540" w:lineRule="exact"/>
        <w:ind w:firstLine="536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3</w:t>
      </w:r>
      <w:r>
        <w:rPr>
          <w:rFonts w:hint="eastAsia"/>
          <w:spacing w:val="-6"/>
          <w:sz w:val="28"/>
          <w:szCs w:val="28"/>
        </w:rPr>
        <w:t>.系统故障报修的响应时间为2小时，且在8小时（连同前面时间计算）内处理完毕。</w:t>
      </w:r>
    </w:p>
    <w:p w14:paraId="3C726743">
      <w:pPr>
        <w:spacing w:line="540" w:lineRule="exact"/>
        <w:ind w:firstLine="536"/>
        <w:rPr>
          <w:rFonts w:hAnsi="Arial"/>
          <w:spacing w:val="-6"/>
          <w:sz w:val="28"/>
          <w:szCs w:val="28"/>
        </w:rPr>
      </w:pPr>
      <w:r>
        <w:rPr>
          <w:rFonts w:hint="eastAsia"/>
          <w:spacing w:val="-6"/>
          <w:sz w:val="28"/>
          <w:szCs w:val="28"/>
        </w:rPr>
        <w:t>★</w:t>
      </w:r>
      <w:r>
        <w:rPr>
          <w:rFonts w:hint="eastAsia"/>
          <w:spacing w:val="-6"/>
          <w:sz w:val="28"/>
          <w:szCs w:val="28"/>
          <w:lang w:val="en-US" w:eastAsia="zh-CN"/>
        </w:rPr>
        <w:t>五</w:t>
      </w:r>
      <w:r>
        <w:rPr>
          <w:rFonts w:hint="eastAsia"/>
          <w:spacing w:val="-6"/>
          <w:sz w:val="28"/>
          <w:szCs w:val="28"/>
        </w:rPr>
        <w:t>、付款方式</w:t>
      </w:r>
    </w:p>
    <w:p w14:paraId="0BF04538">
      <w:pPr>
        <w:spacing w:line="540" w:lineRule="exact"/>
        <w:ind w:firstLine="536"/>
        <w:rPr>
          <w:spacing w:val="-6"/>
          <w:sz w:val="28"/>
          <w:szCs w:val="28"/>
        </w:rPr>
      </w:pPr>
      <w:r>
        <w:rPr>
          <w:rFonts w:hint="eastAsia"/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.</w:t>
      </w:r>
      <w:r>
        <w:rPr>
          <w:rFonts w:hint="eastAsia"/>
          <w:spacing w:val="-6"/>
          <w:sz w:val="28"/>
          <w:szCs w:val="28"/>
        </w:rPr>
        <w:t>采购人与成交人对服务进行验收合格后，成交人开具合同全额的增值税专用发票给采购人作为报账凭证。收到报账凭证后，采购人按其规章制度办理支付手续。</w:t>
      </w:r>
    </w:p>
    <w:p w14:paraId="6A90912C">
      <w:pPr>
        <w:spacing w:line="540" w:lineRule="exact"/>
        <w:ind w:firstLine="536"/>
        <w:rPr>
          <w:rFonts w:hint="eastAsia" w:hAnsi="华文宋体" w:cs="宋体"/>
          <w:sz w:val="28"/>
          <w:szCs w:val="28"/>
        </w:rPr>
      </w:pPr>
      <w:r>
        <w:rPr>
          <w:rFonts w:hint="eastAsia"/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.</w:t>
      </w:r>
      <w:r>
        <w:rPr>
          <w:rFonts w:hint="eastAsia" w:ascii="仿宋" w:hAnsi="仿宋" w:eastAsia="仿宋"/>
          <w:spacing w:val="-6"/>
          <w:sz w:val="28"/>
          <w:szCs w:val="28"/>
        </w:rPr>
        <w:t xml:space="preserve"> 支付金额按</w:t>
      </w:r>
      <w:r>
        <w:rPr>
          <w:rFonts w:hint="eastAsia" w:ascii="仿宋" w:hAnsi="仿宋" w:eastAsia="仿宋"/>
          <w:spacing w:val="-6"/>
          <w:sz w:val="28"/>
          <w:szCs w:val="28"/>
          <w:lang w:val="en-US" w:eastAsia="zh-CN"/>
        </w:rPr>
        <w:t>每</w:t>
      </w:r>
      <w:r>
        <w:rPr>
          <w:rFonts w:hint="eastAsia" w:ascii="仿宋" w:hAnsi="仿宋" w:eastAsia="仿宋"/>
          <w:spacing w:val="-6"/>
          <w:sz w:val="28"/>
          <w:szCs w:val="28"/>
        </w:rPr>
        <w:t>年实际检测的论文数进行结算。</w:t>
      </w:r>
    </w:p>
    <w:p w14:paraId="7B8FC3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ED7AC5"/>
    <w:rsid w:val="01972CF5"/>
    <w:rsid w:val="06D82BD8"/>
    <w:rsid w:val="0C03126A"/>
    <w:rsid w:val="10F75F62"/>
    <w:rsid w:val="172E35B0"/>
    <w:rsid w:val="180400DA"/>
    <w:rsid w:val="1A014381"/>
    <w:rsid w:val="22D10D2C"/>
    <w:rsid w:val="26D5629C"/>
    <w:rsid w:val="27E81913"/>
    <w:rsid w:val="2AB4704E"/>
    <w:rsid w:val="2AF666D8"/>
    <w:rsid w:val="2BD14A48"/>
    <w:rsid w:val="34F62A1C"/>
    <w:rsid w:val="35110F12"/>
    <w:rsid w:val="3E9D2D33"/>
    <w:rsid w:val="439B177B"/>
    <w:rsid w:val="518B61DE"/>
    <w:rsid w:val="51CA7E60"/>
    <w:rsid w:val="523C208F"/>
    <w:rsid w:val="5EB32E0E"/>
    <w:rsid w:val="60F2369A"/>
    <w:rsid w:val="66406CE2"/>
    <w:rsid w:val="69ED7AC5"/>
    <w:rsid w:val="74224611"/>
    <w:rsid w:val="779F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200" w:firstLineChars="200"/>
      <w:jc w:val="both"/>
    </w:pPr>
    <w:rPr>
      <w:rFonts w:eastAsia="仿宋_GB2312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jc w:val="center"/>
      <w:outlineLvl w:val="0"/>
    </w:pPr>
    <w:rPr>
      <w:rFonts w:ascii="Cambria" w:hAnsi="Cambria" w:eastAsia="黑体" w:cs="Times New Roman"/>
      <w:color w:val="000000" w:themeColor="text1"/>
      <w:sz w:val="32"/>
      <w:szCs w:val="48"/>
      <w14:textFill>
        <w14:solidFill>
          <w14:schemeClr w14:val="tx1"/>
        </w14:solidFill>
      </w14:textFill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字符"/>
    <w:basedOn w:val="5"/>
    <w:link w:val="2"/>
    <w:qFormat/>
    <w:uiPriority w:val="0"/>
    <w:rPr>
      <w:rFonts w:ascii="Cambria" w:hAnsi="Cambria" w:eastAsia="黑体" w:cs="Times New Roman"/>
      <w:color w:val="000000" w:themeColor="text1"/>
      <w:sz w:val="32"/>
      <w:szCs w:val="48"/>
      <w14:textFill>
        <w14:solidFill>
          <w14:schemeClr w14:val="tx1"/>
        </w14:solidFill>
      </w14:textFill>
    </w:rPr>
  </w:style>
  <w:style w:type="paragraph" w:customStyle="1" w:styleId="7">
    <w:name w:val="a"/>
    <w:basedOn w:val="1"/>
    <w:link w:val="8"/>
    <w:qFormat/>
    <w:uiPriority w:val="0"/>
    <w:pPr>
      <w:adjustRightInd w:val="0"/>
      <w:snapToGrid w:val="0"/>
      <w:spacing w:line="500" w:lineRule="exact"/>
      <w:jc w:val="center"/>
      <w:outlineLvl w:val="0"/>
    </w:pPr>
    <w:rPr>
      <w:rFonts w:ascii="方正大标宋简体" w:hAnsi="方正大标宋简体" w:eastAsia="黑体" w:cs="方正大标宋简体"/>
      <w:b/>
      <w:bCs/>
      <w:sz w:val="32"/>
      <w:szCs w:val="32"/>
    </w:rPr>
  </w:style>
  <w:style w:type="character" w:customStyle="1" w:styleId="8">
    <w:name w:val="a 字符"/>
    <w:basedOn w:val="5"/>
    <w:link w:val="7"/>
    <w:qFormat/>
    <w:uiPriority w:val="0"/>
    <w:rPr>
      <w:rFonts w:ascii="方正大标宋简体" w:hAnsi="方正大标宋简体" w:eastAsia="黑体" w:cs="方正大标宋简体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4736</Words>
  <Characters>4829</Characters>
  <Lines>0</Lines>
  <Paragraphs>0</Paragraphs>
  <TotalTime>20</TotalTime>
  <ScaleCrop>false</ScaleCrop>
  <LinksUpToDate>false</LinksUpToDate>
  <CharactersWithSpaces>4870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2026-03-05T07:59:00Z</dcterms:created>
  <dc:creator>Administrator</dc:creator>
  <cp:lastModifiedBy>WD..</cp:lastModifiedBy>
  <dcterms:modified xsi:type="dcterms:W3CDTF">2026-03-23T08:06:30Z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6F32740066E643DB8844581A98EABE5A_11</vt:lpwstr>
  </property>
  <property fmtid="{D5CDD505-2E9C-101B-9397-08002B2CF9AE}" pid="4" name="KSOTemplateDocerSaveRecord">
    <vt:lpwstr>eyJoZGlkIjoiNGVjMTVmYTdjM2IyZTNhYzM3NzgwMDZmODZkNzRiZTMiLCJ1c2VySWQiOiI0MzIxMTkxMDIifQ==</vt:lpwstr>
  </property>
</Properties>
</file>