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716602D">
      <w:pPr>
        <w:widowControl/>
        <w:jc w:val="center"/>
        <w:rPr>
          <w:b/>
          <w:sz w:val="32"/>
          <w:szCs w:val="32"/>
          <w:highlight w:val="none"/>
        </w:rPr>
      </w:pPr>
      <w:r>
        <w:rPr>
          <w:rFonts w:hint="eastAsia"/>
          <w:b/>
          <w:sz w:val="32"/>
          <w:szCs w:val="32"/>
          <w:highlight w:val="none"/>
        </w:rPr>
        <w:t>第四章 项目（货物或者服务）需求说明</w:t>
      </w:r>
    </w:p>
    <w:p w14:paraId="40747BC9">
      <w:pPr>
        <w:spacing w:line="300" w:lineRule="auto"/>
        <w:ind w:firstLine="480" w:firstLineChars="200"/>
        <w:outlineLvl w:val="0"/>
        <w:rPr>
          <w:rFonts w:ascii="宋体" w:hAnsi="宋体"/>
          <w:color w:val="000000"/>
          <w:sz w:val="24"/>
          <w:highlight w:val="none"/>
        </w:rPr>
      </w:pPr>
      <w:r>
        <w:rPr>
          <w:rFonts w:hint="eastAsia" w:ascii="宋体" w:hAnsi="宋体"/>
          <w:color w:val="000000"/>
          <w:sz w:val="24"/>
          <w:highlight w:val="none"/>
        </w:rPr>
        <w:t>一、项目背景（或概况）：</w:t>
      </w:r>
    </w:p>
    <w:p w14:paraId="3578C327">
      <w:pPr>
        <w:spacing w:line="300" w:lineRule="auto"/>
        <w:ind w:firstLine="420" w:firstLineChars="200"/>
        <w:rPr>
          <w:rFonts w:ascii="宋体" w:hAnsi="宋体"/>
          <w:color w:val="000000"/>
          <w:szCs w:val="21"/>
          <w:highlight w:val="none"/>
          <w:u w:val="single"/>
        </w:rPr>
      </w:pPr>
      <w:r>
        <w:rPr>
          <w:rFonts w:hint="eastAsia" w:ascii="宋体" w:hAnsi="宋体"/>
          <w:color w:val="000000"/>
          <w:szCs w:val="21"/>
          <w:highlight w:val="none"/>
        </w:rPr>
        <w:t xml:space="preserve"> </w:t>
      </w:r>
      <w:r>
        <w:rPr>
          <w:rFonts w:hint="eastAsia" w:ascii="宋体" w:hAnsi="宋体"/>
          <w:color w:val="000000"/>
          <w:szCs w:val="21"/>
          <w:highlight w:val="none"/>
          <w:u w:val="single"/>
        </w:rPr>
        <w:t xml:space="preserve">  江苏海洋大学现有22人龙舟已使用年限较长，船体出现老化、变形、结构性能衰减等问题，已无法正常开展日常教学、训练及竞赛活动；专业碳纤维竞赛龙舟桨属于专项竞技器材，划桨技术动作对器材材质、工艺、规格匹配度指向性极强，对产品品质、结构精度及竞技性能要求标准高，现有专业碳纤维竞赛龙舟桨数量和质量已无法足额保障班级教学、梯队训练及赛事集训同步开展。现有竞赛专用救生衣因长期用于日常训练及赛事活动，器材损耗老化严重，安全防护性能下降，救生衣数量和质量已不能满足水上训练安全保障要求。</w:t>
      </w:r>
    </w:p>
    <w:p w14:paraId="642152CF">
      <w:pPr>
        <w:spacing w:line="300" w:lineRule="auto"/>
        <w:ind w:firstLine="420" w:firstLineChars="200"/>
        <w:rPr>
          <w:rFonts w:ascii="宋体" w:hAnsi="宋体"/>
          <w:color w:val="000000"/>
          <w:szCs w:val="21"/>
          <w:highlight w:val="none"/>
          <w:u w:val="single"/>
        </w:rPr>
      </w:pPr>
      <w:r>
        <w:rPr>
          <w:rFonts w:hint="eastAsia" w:ascii="宋体" w:hAnsi="宋体"/>
          <w:color w:val="000000"/>
          <w:szCs w:val="21"/>
          <w:highlight w:val="none"/>
          <w:u w:val="single"/>
        </w:rPr>
        <w:t xml:space="preserve">  为保障正常教学训练开展，完善高水平运动队训练设施配置，补齐现有龙舟训练器材短板，提升竞技训练保障能力，现实施本次体育学院实验更新-龙舟器材更新项目采购计划，更新购置标准22人龙舟1条、补充足额专业碳纤维竞赛龙舟桨及竞赛专用救生衣，满足教学、训练、竞赛全方位使用需求。</w:t>
      </w:r>
    </w:p>
    <w:p w14:paraId="37063550">
      <w:pPr>
        <w:spacing w:line="300" w:lineRule="auto"/>
        <w:ind w:firstLine="420" w:firstLineChars="200"/>
        <w:rPr>
          <w:rFonts w:ascii="宋体" w:hAnsi="宋体"/>
          <w:color w:val="000000"/>
          <w:szCs w:val="21"/>
          <w:highlight w:val="none"/>
        </w:rPr>
      </w:pPr>
    </w:p>
    <w:p w14:paraId="77EE1F98">
      <w:pPr>
        <w:spacing w:line="300" w:lineRule="auto"/>
        <w:rPr>
          <w:rFonts w:ascii="宋体" w:hAnsi="宋体"/>
          <w:color w:val="000000"/>
          <w:szCs w:val="21"/>
          <w:highlight w:val="none"/>
        </w:rPr>
      </w:pPr>
    </w:p>
    <w:p w14:paraId="053F04F5">
      <w:pPr>
        <w:spacing w:line="300" w:lineRule="auto"/>
        <w:ind w:firstLine="480" w:firstLineChars="200"/>
        <w:outlineLvl w:val="0"/>
        <w:rPr>
          <w:rFonts w:ascii="宋体" w:hAnsi="宋体"/>
          <w:color w:val="000000"/>
          <w:sz w:val="24"/>
          <w:highlight w:val="none"/>
        </w:rPr>
      </w:pPr>
      <w:r>
        <w:rPr>
          <w:rFonts w:hint="eastAsia" w:ascii="宋体" w:hAnsi="宋体"/>
          <w:color w:val="000000"/>
          <w:sz w:val="24"/>
          <w:highlight w:val="none"/>
        </w:rPr>
        <w:t>二、货物（标的）采购清单：</w:t>
      </w:r>
      <w:r>
        <w:rPr>
          <w:rFonts w:hint="eastAsia" w:ascii="宋体" w:hAnsi="宋体"/>
          <w:color w:val="000000"/>
          <w:sz w:val="24"/>
          <w:highlight w:val="none"/>
        </w:rPr>
        <w:t>（核心产品）</w:t>
      </w:r>
    </w:p>
    <w:tbl>
      <w:tblPr>
        <w:tblStyle w:val="2"/>
        <w:tblW w:w="94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69"/>
        <w:gridCol w:w="4012"/>
        <w:gridCol w:w="1548"/>
        <w:gridCol w:w="1548"/>
        <w:gridCol w:w="1160"/>
      </w:tblGrid>
      <w:tr w14:paraId="6DE365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9" w:type="dxa"/>
            <w:vAlign w:val="center"/>
          </w:tcPr>
          <w:p w14:paraId="5DADCC7F">
            <w:pPr>
              <w:widowControl/>
              <w:jc w:val="center"/>
              <w:rPr>
                <w:rFonts w:ascii="宋体" w:hAnsi="宋体" w:cs="Helvetica"/>
                <w:b/>
                <w:sz w:val="24"/>
                <w:highlight w:val="none"/>
              </w:rPr>
            </w:pPr>
            <w:r>
              <w:rPr>
                <w:rFonts w:hint="eastAsia" w:ascii="宋体" w:hAnsi="宋体" w:cs="Helvetica"/>
                <w:b/>
                <w:sz w:val="24"/>
                <w:highlight w:val="none"/>
              </w:rPr>
              <w:t>序号</w:t>
            </w:r>
          </w:p>
        </w:tc>
        <w:tc>
          <w:tcPr>
            <w:tcW w:w="4012" w:type="dxa"/>
            <w:vAlign w:val="center"/>
          </w:tcPr>
          <w:p w14:paraId="6F8B0564">
            <w:pPr>
              <w:widowControl/>
              <w:jc w:val="center"/>
              <w:rPr>
                <w:rFonts w:ascii="宋体" w:hAnsi="宋体" w:cs="Helvetica"/>
                <w:b/>
                <w:sz w:val="24"/>
                <w:highlight w:val="none"/>
              </w:rPr>
            </w:pPr>
            <w:r>
              <w:rPr>
                <w:rFonts w:hint="eastAsia" w:ascii="宋体" w:hAnsi="宋体" w:cs="Helvetica"/>
                <w:b/>
                <w:sz w:val="24"/>
                <w:highlight w:val="none"/>
              </w:rPr>
              <w:t>货物名称</w:t>
            </w:r>
          </w:p>
        </w:tc>
        <w:tc>
          <w:tcPr>
            <w:tcW w:w="1548" w:type="dxa"/>
            <w:vAlign w:val="center"/>
          </w:tcPr>
          <w:p w14:paraId="604BDE3E">
            <w:pPr>
              <w:widowControl/>
              <w:jc w:val="center"/>
              <w:rPr>
                <w:rFonts w:ascii="Calibri" w:hAnsi="Calibri"/>
                <w:b/>
                <w:sz w:val="24"/>
                <w:highlight w:val="none"/>
              </w:rPr>
            </w:pPr>
          </w:p>
        </w:tc>
        <w:tc>
          <w:tcPr>
            <w:tcW w:w="1548" w:type="dxa"/>
            <w:vAlign w:val="center"/>
          </w:tcPr>
          <w:p w14:paraId="435AC4B0">
            <w:pPr>
              <w:widowControl/>
              <w:jc w:val="center"/>
              <w:rPr>
                <w:rFonts w:ascii="宋体" w:hAnsi="Calibri"/>
                <w:b/>
                <w:sz w:val="24"/>
                <w:highlight w:val="none"/>
              </w:rPr>
            </w:pPr>
            <w:r>
              <w:rPr>
                <w:rFonts w:hint="eastAsia" w:ascii="Calibri" w:hAnsi="Calibri"/>
                <w:b/>
                <w:sz w:val="24"/>
                <w:highlight w:val="none"/>
              </w:rPr>
              <w:t>数量</w:t>
            </w:r>
          </w:p>
        </w:tc>
        <w:tc>
          <w:tcPr>
            <w:tcW w:w="1160" w:type="dxa"/>
            <w:vAlign w:val="center"/>
          </w:tcPr>
          <w:p w14:paraId="0C387B6B">
            <w:pPr>
              <w:widowControl/>
              <w:jc w:val="center"/>
              <w:rPr>
                <w:rFonts w:ascii="Calibri" w:hAnsi="Calibri"/>
                <w:b/>
                <w:sz w:val="24"/>
                <w:highlight w:val="none"/>
              </w:rPr>
            </w:pPr>
            <w:r>
              <w:rPr>
                <w:rFonts w:hint="eastAsia" w:ascii="Calibri" w:hAnsi="Calibri"/>
                <w:b/>
                <w:sz w:val="24"/>
                <w:highlight w:val="none"/>
              </w:rPr>
              <w:t>单位</w:t>
            </w:r>
          </w:p>
        </w:tc>
      </w:tr>
      <w:tr w14:paraId="56F75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69" w:type="dxa"/>
          </w:tcPr>
          <w:p w14:paraId="47B6F138">
            <w:pPr>
              <w:widowControl/>
              <w:jc w:val="center"/>
              <w:rPr>
                <w:rFonts w:ascii="宋体" w:hAnsi="宋体" w:cs="Helvetica"/>
                <w:sz w:val="24"/>
                <w:highlight w:val="none"/>
              </w:rPr>
            </w:pPr>
            <w:r>
              <w:rPr>
                <w:rFonts w:hint="eastAsia" w:ascii="宋体" w:hAnsi="宋体" w:cs="Helvetica"/>
                <w:sz w:val="24"/>
                <w:highlight w:val="none"/>
              </w:rPr>
              <w:t>1</w:t>
            </w:r>
          </w:p>
        </w:tc>
        <w:tc>
          <w:tcPr>
            <w:tcW w:w="4012" w:type="dxa"/>
            <w:vAlign w:val="center"/>
          </w:tcPr>
          <w:p w14:paraId="5050DD77">
            <w:pPr>
              <w:jc w:val="center"/>
              <w:rPr>
                <w:rFonts w:ascii="宋体" w:hAnsi="宋体" w:cs="宋体"/>
                <w:sz w:val="24"/>
                <w:highlight w:val="none"/>
              </w:rPr>
            </w:pPr>
            <w:r>
              <w:rPr>
                <w:rFonts w:hint="eastAsia" w:ascii="宋体" w:hAnsi="宋体" w:cs="宋体"/>
                <w:sz w:val="24"/>
                <w:highlight w:val="none"/>
              </w:rPr>
              <w:t>CDBA 标准的22人龙舟</w:t>
            </w:r>
          </w:p>
        </w:tc>
        <w:tc>
          <w:tcPr>
            <w:tcW w:w="1548" w:type="dxa"/>
            <w:vAlign w:val="center"/>
          </w:tcPr>
          <w:p w14:paraId="1D71367A">
            <w:pPr>
              <w:jc w:val="center"/>
              <w:rPr>
                <w:rFonts w:ascii="宋体" w:hAnsi="宋体" w:cs="宋体"/>
                <w:sz w:val="24"/>
                <w:highlight w:val="none"/>
              </w:rPr>
            </w:pPr>
          </w:p>
        </w:tc>
        <w:tc>
          <w:tcPr>
            <w:tcW w:w="1548" w:type="dxa"/>
            <w:vAlign w:val="center"/>
          </w:tcPr>
          <w:p w14:paraId="494CFC31">
            <w:pPr>
              <w:jc w:val="center"/>
              <w:rPr>
                <w:rFonts w:ascii="宋体" w:hAnsi="宋体" w:cs="宋体"/>
                <w:sz w:val="24"/>
                <w:highlight w:val="none"/>
              </w:rPr>
            </w:pPr>
            <w:r>
              <w:rPr>
                <w:rFonts w:hint="eastAsia" w:ascii="宋体" w:hAnsi="宋体" w:cs="宋体"/>
                <w:sz w:val="24"/>
                <w:highlight w:val="none"/>
              </w:rPr>
              <w:t>1</w:t>
            </w:r>
          </w:p>
        </w:tc>
        <w:tc>
          <w:tcPr>
            <w:tcW w:w="1160" w:type="dxa"/>
            <w:vAlign w:val="center"/>
          </w:tcPr>
          <w:p w14:paraId="2973B51A">
            <w:pPr>
              <w:jc w:val="center"/>
              <w:rPr>
                <w:rFonts w:ascii="宋体" w:hAnsi="宋体" w:cs="宋体"/>
                <w:sz w:val="24"/>
                <w:highlight w:val="none"/>
              </w:rPr>
            </w:pPr>
            <w:r>
              <w:rPr>
                <w:rFonts w:hint="eastAsia" w:ascii="宋体" w:hAnsi="宋体" w:cs="宋体"/>
                <w:sz w:val="24"/>
                <w:highlight w:val="none"/>
              </w:rPr>
              <w:t>艘</w:t>
            </w:r>
          </w:p>
        </w:tc>
      </w:tr>
    </w:tbl>
    <w:p w14:paraId="64DCDC77">
      <w:pPr>
        <w:spacing w:line="300" w:lineRule="auto"/>
        <w:ind w:firstLine="420" w:firstLineChars="200"/>
        <w:rPr>
          <w:rFonts w:ascii="宋体" w:hAnsi="宋体"/>
          <w:color w:val="000000"/>
          <w:szCs w:val="21"/>
          <w:highlight w:val="none"/>
        </w:rPr>
      </w:pPr>
    </w:p>
    <w:p w14:paraId="0802BA9E">
      <w:pPr>
        <w:spacing w:line="300" w:lineRule="auto"/>
        <w:ind w:firstLine="480" w:firstLineChars="200"/>
        <w:outlineLvl w:val="0"/>
        <w:rPr>
          <w:rFonts w:ascii="宋体" w:hAnsi="宋体"/>
          <w:color w:val="000000"/>
          <w:szCs w:val="21"/>
          <w:highlight w:val="none"/>
        </w:rPr>
      </w:pPr>
      <w:r>
        <w:rPr>
          <w:rFonts w:hint="eastAsia" w:ascii="宋体" w:hAnsi="宋体"/>
          <w:color w:val="000000"/>
          <w:sz w:val="24"/>
          <w:highlight w:val="none"/>
        </w:rPr>
        <w:t>三、货物技术参数及功能指标：</w:t>
      </w:r>
    </w:p>
    <w:tbl>
      <w:tblPr>
        <w:tblStyle w:val="2"/>
        <w:tblW w:w="8477" w:type="dxa"/>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1559"/>
        <w:gridCol w:w="6210"/>
      </w:tblGrid>
      <w:tr w14:paraId="38A114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708" w:type="dxa"/>
            <w:vAlign w:val="center"/>
          </w:tcPr>
          <w:p w14:paraId="6BBDFCC3">
            <w:pPr>
              <w:widowControl/>
              <w:jc w:val="center"/>
              <w:rPr>
                <w:rFonts w:ascii="宋体" w:hAnsi="宋体" w:cs="Helvetica"/>
                <w:b/>
                <w:sz w:val="24"/>
                <w:highlight w:val="none"/>
              </w:rPr>
            </w:pPr>
            <w:r>
              <w:rPr>
                <w:rFonts w:hint="eastAsia" w:ascii="宋体" w:hAnsi="宋体" w:cs="Helvetica"/>
                <w:b/>
                <w:sz w:val="24"/>
                <w:highlight w:val="none"/>
              </w:rPr>
              <w:t>序号</w:t>
            </w:r>
          </w:p>
        </w:tc>
        <w:tc>
          <w:tcPr>
            <w:tcW w:w="1559" w:type="dxa"/>
            <w:vAlign w:val="center"/>
          </w:tcPr>
          <w:p w14:paraId="7296BBF9">
            <w:pPr>
              <w:widowControl/>
              <w:jc w:val="center"/>
              <w:rPr>
                <w:rFonts w:ascii="宋体" w:hAnsi="宋体" w:cs="Helvetica"/>
                <w:b/>
                <w:sz w:val="24"/>
                <w:highlight w:val="none"/>
              </w:rPr>
            </w:pPr>
            <w:r>
              <w:rPr>
                <w:rFonts w:hint="eastAsia" w:ascii="宋体" w:hAnsi="宋体" w:cs="Helvetica"/>
                <w:b/>
                <w:sz w:val="24"/>
                <w:highlight w:val="none"/>
              </w:rPr>
              <w:t>货物名称</w:t>
            </w:r>
          </w:p>
        </w:tc>
        <w:tc>
          <w:tcPr>
            <w:tcW w:w="6210" w:type="dxa"/>
            <w:vAlign w:val="center"/>
          </w:tcPr>
          <w:p w14:paraId="1BB63878">
            <w:pPr>
              <w:widowControl/>
              <w:jc w:val="center"/>
              <w:rPr>
                <w:rFonts w:ascii="宋体" w:hAnsi="宋体" w:cs="Helvetica"/>
                <w:b/>
                <w:sz w:val="24"/>
                <w:highlight w:val="none"/>
              </w:rPr>
            </w:pPr>
            <w:r>
              <w:rPr>
                <w:rFonts w:hint="eastAsia" w:ascii="宋体" w:hAnsi="宋体" w:cs="Helvetica"/>
                <w:b/>
                <w:sz w:val="24"/>
                <w:highlight w:val="none"/>
              </w:rPr>
              <w:t>技术参数及功能指标</w:t>
            </w:r>
          </w:p>
        </w:tc>
      </w:tr>
      <w:tr w14:paraId="69FAC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50" w:hRule="atLeast"/>
        </w:trPr>
        <w:tc>
          <w:tcPr>
            <w:tcW w:w="708" w:type="dxa"/>
          </w:tcPr>
          <w:p w14:paraId="169E77EF">
            <w:pPr>
              <w:widowControl/>
              <w:jc w:val="center"/>
              <w:rPr>
                <w:rFonts w:ascii="宋体" w:hAnsi="宋体" w:cs="Helvetica"/>
                <w:sz w:val="24"/>
                <w:highlight w:val="none"/>
              </w:rPr>
            </w:pPr>
            <w:r>
              <w:rPr>
                <w:rFonts w:hint="eastAsia" w:ascii="宋体" w:hAnsi="宋体" w:cs="Helvetica"/>
                <w:sz w:val="24"/>
                <w:highlight w:val="none"/>
              </w:rPr>
              <w:t>1</w:t>
            </w:r>
          </w:p>
        </w:tc>
        <w:tc>
          <w:tcPr>
            <w:tcW w:w="1559" w:type="dxa"/>
            <w:vAlign w:val="center"/>
          </w:tcPr>
          <w:p w14:paraId="586BD853">
            <w:pPr>
              <w:jc w:val="center"/>
              <w:rPr>
                <w:rFonts w:ascii="宋体" w:hAnsi="宋体" w:cs="宋体"/>
                <w:sz w:val="24"/>
                <w:highlight w:val="none"/>
              </w:rPr>
            </w:pPr>
            <w:r>
              <w:rPr>
                <w:rFonts w:hint="eastAsia" w:ascii="宋体" w:hAnsi="宋体" w:cs="宋体"/>
                <w:sz w:val="24"/>
                <w:highlight w:val="none"/>
              </w:rPr>
              <w:t>CDBA 标准的22人龙舟</w:t>
            </w:r>
          </w:p>
        </w:tc>
        <w:tc>
          <w:tcPr>
            <w:tcW w:w="6210" w:type="dxa"/>
            <w:vAlign w:val="center"/>
          </w:tcPr>
          <w:p w14:paraId="29BA0E92">
            <w:pPr>
              <w:spacing w:line="420" w:lineRule="exact"/>
              <w:rPr>
                <w:rFonts w:ascii="宋体" w:hAnsi="宋体"/>
                <w:sz w:val="24"/>
                <w:highlight w:val="none"/>
              </w:rPr>
            </w:pPr>
            <w:r>
              <w:rPr>
                <w:rFonts w:hint="eastAsia" w:ascii="宋体" w:hAnsi="宋体" w:cs="宋体"/>
                <w:color w:val="000000"/>
                <w:sz w:val="24"/>
                <w:highlight w:val="none"/>
              </w:rPr>
              <w:t>▲</w:t>
            </w:r>
            <w:r>
              <w:rPr>
                <w:rFonts w:hint="eastAsia" w:ascii="宋体" w:hAnsi="宋体"/>
                <w:sz w:val="24"/>
                <w:highlight w:val="none"/>
              </w:rPr>
              <w:t>总长18.40米，</w:t>
            </w:r>
          </w:p>
          <w:p w14:paraId="5DB681F8">
            <w:pPr>
              <w:spacing w:line="420" w:lineRule="exact"/>
              <w:rPr>
                <w:rFonts w:ascii="宋体" w:hAnsi="宋体"/>
                <w:sz w:val="24"/>
                <w:highlight w:val="none"/>
              </w:rPr>
            </w:pPr>
            <w:r>
              <w:rPr>
                <w:rFonts w:hint="eastAsia" w:ascii="宋体" w:hAnsi="宋体" w:cs="宋体"/>
                <w:color w:val="000000"/>
                <w:sz w:val="24"/>
                <w:highlight w:val="none"/>
              </w:rPr>
              <w:t>▲</w:t>
            </w:r>
            <w:r>
              <w:rPr>
                <w:rFonts w:hint="eastAsia" w:ascii="宋体" w:hAnsi="宋体"/>
                <w:sz w:val="24"/>
                <w:highlight w:val="none"/>
              </w:rPr>
              <w:t>型长15.50米，型宽1.10米，型深0.55米，</w:t>
            </w:r>
          </w:p>
          <w:p w14:paraId="65DE79D9">
            <w:pPr>
              <w:spacing w:line="420" w:lineRule="exact"/>
              <w:rPr>
                <w:rFonts w:ascii="宋体" w:hAnsi="宋体"/>
                <w:sz w:val="24"/>
                <w:highlight w:val="none"/>
              </w:rPr>
            </w:pPr>
            <w:r>
              <w:rPr>
                <w:rFonts w:hint="eastAsia" w:ascii="宋体" w:hAnsi="宋体"/>
                <w:sz w:val="24"/>
                <w:highlight w:val="none"/>
              </w:rPr>
              <w:t>龙头1.50米，龙尾1.40米，</w:t>
            </w:r>
          </w:p>
          <w:p w14:paraId="3C56D373">
            <w:pPr>
              <w:spacing w:line="420" w:lineRule="exact"/>
              <w:rPr>
                <w:rFonts w:ascii="宋体" w:hAnsi="宋体"/>
                <w:sz w:val="24"/>
                <w:highlight w:val="none"/>
              </w:rPr>
            </w:pPr>
            <w:r>
              <w:rPr>
                <w:rFonts w:hint="eastAsia" w:ascii="宋体" w:hAnsi="宋体" w:cs="宋体"/>
                <w:color w:val="000000"/>
                <w:sz w:val="24"/>
                <w:highlight w:val="none"/>
              </w:rPr>
              <w:t>▲</w:t>
            </w:r>
            <w:r>
              <w:rPr>
                <w:rFonts w:hint="eastAsia" w:ascii="宋体" w:hAnsi="宋体"/>
                <w:sz w:val="24"/>
                <w:highlight w:val="none"/>
              </w:rPr>
              <w:t>船重295千克±5千克。</w:t>
            </w:r>
          </w:p>
        </w:tc>
      </w:tr>
      <w:tr w14:paraId="2DDAFA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53C3C3D4">
            <w:pPr>
              <w:widowControl/>
              <w:jc w:val="center"/>
              <w:rPr>
                <w:rFonts w:ascii="宋体" w:hAnsi="宋体" w:cs="Helvetica"/>
                <w:sz w:val="24"/>
                <w:highlight w:val="none"/>
              </w:rPr>
            </w:pPr>
            <w:r>
              <w:rPr>
                <w:rFonts w:hint="eastAsia" w:ascii="宋体" w:hAnsi="宋体" w:cs="Helvetica"/>
                <w:sz w:val="24"/>
                <w:highlight w:val="none"/>
              </w:rPr>
              <w:t>2</w:t>
            </w:r>
          </w:p>
        </w:tc>
        <w:tc>
          <w:tcPr>
            <w:tcW w:w="1559" w:type="dxa"/>
            <w:vAlign w:val="center"/>
          </w:tcPr>
          <w:p w14:paraId="183C74CF">
            <w:pPr>
              <w:jc w:val="center"/>
              <w:rPr>
                <w:rFonts w:ascii="宋体" w:hAnsi="宋体" w:cs="宋体"/>
                <w:sz w:val="24"/>
                <w:highlight w:val="none"/>
              </w:rPr>
            </w:pPr>
            <w:r>
              <w:rPr>
                <w:rFonts w:hint="eastAsia" w:ascii="宋体" w:hAnsi="宋体"/>
                <w:sz w:val="24"/>
                <w:highlight w:val="none"/>
              </w:rPr>
              <w:t>专业碳纤维竞赛龙舟桨</w:t>
            </w:r>
          </w:p>
        </w:tc>
        <w:tc>
          <w:tcPr>
            <w:tcW w:w="6210" w:type="dxa"/>
            <w:vAlign w:val="center"/>
          </w:tcPr>
          <w:p w14:paraId="3D4F003D">
            <w:pPr>
              <w:spacing w:line="420" w:lineRule="exact"/>
              <w:rPr>
                <w:rFonts w:ascii="宋体" w:hAnsi="宋体"/>
                <w:sz w:val="24"/>
                <w:highlight w:val="none"/>
              </w:rPr>
            </w:pPr>
            <w:r>
              <w:rPr>
                <w:rFonts w:hint="eastAsia" w:ascii="宋体" w:hAnsi="宋体"/>
                <w:sz w:val="24"/>
                <w:highlight w:val="none"/>
              </w:rPr>
              <w:t>龙舟碳桨釆用碳纤维制作的双面划桨，具备桨叶分水线，人体工学手柄，桨叶连接处加固处理等设计特征。</w:t>
            </w:r>
          </w:p>
          <w:p w14:paraId="2D3F7293">
            <w:pPr>
              <w:spacing w:line="420" w:lineRule="exact"/>
              <w:rPr>
                <w:rFonts w:ascii="宋体" w:hAnsi="宋体"/>
                <w:sz w:val="24"/>
                <w:highlight w:val="none"/>
              </w:rPr>
            </w:pPr>
            <w:r>
              <w:rPr>
                <w:rFonts w:hint="eastAsia" w:ascii="宋体" w:hAnsi="宋体"/>
                <w:sz w:val="24"/>
                <w:highlight w:val="none"/>
              </w:rPr>
              <w:t>参数要求：</w:t>
            </w:r>
          </w:p>
          <w:p w14:paraId="4EFD408D">
            <w:pPr>
              <w:spacing w:line="420" w:lineRule="exact"/>
              <w:rPr>
                <w:rFonts w:ascii="宋体" w:hAnsi="宋体"/>
                <w:sz w:val="24"/>
                <w:highlight w:val="none"/>
              </w:rPr>
            </w:pPr>
            <w:r>
              <w:rPr>
                <w:rFonts w:hint="eastAsia" w:ascii="宋体" w:hAnsi="宋体" w:cs="宋体"/>
                <w:color w:val="000000"/>
                <w:sz w:val="24"/>
                <w:highlight w:val="none"/>
              </w:rPr>
              <w:t>▲</w:t>
            </w:r>
            <w:r>
              <w:rPr>
                <w:rFonts w:hint="eastAsia" w:ascii="宋体" w:hAnsi="宋体"/>
                <w:sz w:val="24"/>
                <w:highlight w:val="none"/>
              </w:rPr>
              <w:t>1、重385±10g；</w:t>
            </w:r>
          </w:p>
          <w:p w14:paraId="630608E8">
            <w:pPr>
              <w:spacing w:line="420" w:lineRule="exact"/>
              <w:rPr>
                <w:rFonts w:ascii="宋体" w:hAnsi="宋体"/>
                <w:sz w:val="24"/>
                <w:highlight w:val="none"/>
              </w:rPr>
            </w:pPr>
            <w:r>
              <w:rPr>
                <w:rFonts w:hint="eastAsia" w:ascii="宋体" w:hAnsi="宋体"/>
                <w:sz w:val="24"/>
                <w:highlight w:val="none"/>
              </w:rPr>
              <w:t>2、总长：1050~1300mm；</w:t>
            </w:r>
          </w:p>
          <w:p w14:paraId="15CB2743">
            <w:pPr>
              <w:spacing w:line="420" w:lineRule="exact"/>
              <w:rPr>
                <w:rFonts w:ascii="宋体" w:hAnsi="宋体"/>
                <w:sz w:val="24"/>
                <w:highlight w:val="none"/>
              </w:rPr>
            </w:pPr>
            <w:r>
              <w:rPr>
                <w:rFonts w:hint="eastAsia" w:ascii="宋体" w:hAnsi="宋体"/>
                <w:sz w:val="24"/>
                <w:highlight w:val="none"/>
              </w:rPr>
              <w:t>3、桨叶长：480±5mm；</w:t>
            </w:r>
          </w:p>
          <w:p w14:paraId="77503DA5">
            <w:pPr>
              <w:spacing w:line="420" w:lineRule="exact"/>
              <w:rPr>
                <w:rFonts w:ascii="宋体" w:hAnsi="宋体"/>
                <w:sz w:val="24"/>
                <w:highlight w:val="none"/>
              </w:rPr>
            </w:pPr>
            <w:r>
              <w:rPr>
                <w:rFonts w:hint="eastAsia" w:ascii="宋体" w:hAnsi="宋体" w:cs="宋体"/>
                <w:color w:val="000000"/>
                <w:sz w:val="24"/>
                <w:highlight w:val="none"/>
              </w:rPr>
              <w:t>▲</w:t>
            </w:r>
            <w:r>
              <w:rPr>
                <w:rFonts w:hint="eastAsia" w:ascii="宋体" w:hAnsi="宋体"/>
                <w:sz w:val="24"/>
                <w:highlight w:val="none"/>
              </w:rPr>
              <w:t>4、弧形斜口延伸120±5 mm；</w:t>
            </w:r>
          </w:p>
          <w:p w14:paraId="04DE6476">
            <w:pPr>
              <w:spacing w:line="420" w:lineRule="exact"/>
              <w:rPr>
                <w:rFonts w:ascii="宋体" w:hAnsi="宋体"/>
                <w:sz w:val="24"/>
                <w:highlight w:val="none"/>
              </w:rPr>
            </w:pPr>
            <w:r>
              <w:rPr>
                <w:rFonts w:hint="eastAsia" w:ascii="宋体" w:hAnsi="宋体"/>
                <w:sz w:val="24"/>
                <w:highlight w:val="none"/>
              </w:rPr>
              <w:t>5、桨叶的肩(到未端的距离) ：360~480 mm；</w:t>
            </w:r>
          </w:p>
          <w:p w14:paraId="5AF356F7">
            <w:pPr>
              <w:spacing w:line="420" w:lineRule="exact"/>
              <w:rPr>
                <w:rFonts w:ascii="宋体" w:hAnsi="宋体"/>
                <w:sz w:val="24"/>
                <w:highlight w:val="none"/>
              </w:rPr>
            </w:pPr>
            <w:r>
              <w:rPr>
                <w:rFonts w:hint="eastAsia" w:ascii="宋体" w:hAnsi="宋体"/>
                <w:sz w:val="24"/>
                <w:highlight w:val="none"/>
              </w:rPr>
              <w:t>6、桨叶前沿最大宽度：180 mm；</w:t>
            </w:r>
          </w:p>
          <w:p w14:paraId="637A5373">
            <w:pPr>
              <w:spacing w:line="420" w:lineRule="exact"/>
              <w:rPr>
                <w:rFonts w:ascii="宋体" w:hAnsi="宋体"/>
                <w:sz w:val="24"/>
                <w:highlight w:val="none"/>
              </w:rPr>
            </w:pPr>
            <w:r>
              <w:rPr>
                <w:rFonts w:hint="eastAsia" w:ascii="宋体" w:hAnsi="宋体" w:cs="宋体"/>
                <w:color w:val="000000"/>
                <w:sz w:val="24"/>
                <w:highlight w:val="none"/>
              </w:rPr>
              <w:t>▲</w:t>
            </w:r>
            <w:r>
              <w:rPr>
                <w:rFonts w:hint="eastAsia" w:ascii="宋体" w:hAnsi="宋体"/>
                <w:sz w:val="24"/>
                <w:highlight w:val="none"/>
              </w:rPr>
              <w:t>7、桨叶长 120 mm处最大宽度：167 mm；桨叶长 240 mm处最大宽度：154 mm；桨叶长 360 mm处最大宽度：140.5 mm；桨叶的边缘厚度：4~10 mm；</w:t>
            </w:r>
          </w:p>
          <w:p w14:paraId="26B92308">
            <w:pPr>
              <w:spacing w:line="420" w:lineRule="exact"/>
              <w:rPr>
                <w:rFonts w:ascii="宋体" w:hAnsi="宋体"/>
                <w:sz w:val="24"/>
                <w:highlight w:val="none"/>
              </w:rPr>
            </w:pPr>
            <w:r>
              <w:rPr>
                <w:rFonts w:hint="eastAsia" w:ascii="宋体" w:hAnsi="宋体"/>
                <w:sz w:val="24"/>
                <w:highlight w:val="none"/>
              </w:rPr>
              <w:t>8、桨杆长：570~820 mm；</w:t>
            </w:r>
          </w:p>
          <w:p w14:paraId="21DD34BB">
            <w:pPr>
              <w:spacing w:line="420" w:lineRule="exact"/>
              <w:rPr>
                <w:rFonts w:ascii="宋体" w:hAnsi="宋体"/>
                <w:sz w:val="24"/>
                <w:highlight w:val="none"/>
              </w:rPr>
            </w:pPr>
            <w:r>
              <w:rPr>
                <w:rFonts w:hint="eastAsia" w:ascii="宋体" w:hAnsi="宋体"/>
                <w:sz w:val="24"/>
                <w:highlight w:val="none"/>
              </w:rPr>
              <w:t>9、桨杆直径：25 ~35 mm；</w:t>
            </w:r>
          </w:p>
          <w:p w14:paraId="6A32B057">
            <w:pPr>
              <w:spacing w:line="420" w:lineRule="exact"/>
              <w:rPr>
                <w:rFonts w:ascii="宋体" w:hAnsi="宋体"/>
                <w:sz w:val="24"/>
                <w:highlight w:val="none"/>
              </w:rPr>
            </w:pPr>
            <w:r>
              <w:rPr>
                <w:rFonts w:hint="eastAsia" w:ascii="宋体" w:hAnsi="宋体"/>
                <w:sz w:val="24"/>
                <w:highlight w:val="none"/>
              </w:rPr>
              <w:t>10、桨柄长：100±5 mm；</w:t>
            </w:r>
          </w:p>
          <w:p w14:paraId="4837D01C">
            <w:pPr>
              <w:spacing w:line="420" w:lineRule="exact"/>
              <w:rPr>
                <w:rFonts w:ascii="宋体" w:hAnsi="宋体"/>
                <w:sz w:val="24"/>
                <w:highlight w:val="none"/>
              </w:rPr>
            </w:pPr>
            <w:r>
              <w:rPr>
                <w:rFonts w:hint="eastAsia" w:ascii="宋体" w:hAnsi="宋体"/>
                <w:sz w:val="24"/>
                <w:highlight w:val="none"/>
              </w:rPr>
              <w:t>11、桨柄直径：25~35 mm；</w:t>
            </w:r>
          </w:p>
          <w:p w14:paraId="4CD9A236">
            <w:pPr>
              <w:spacing w:line="420" w:lineRule="exact"/>
              <w:rPr>
                <w:rFonts w:ascii="宋体" w:hAnsi="宋体"/>
                <w:sz w:val="24"/>
                <w:highlight w:val="none"/>
              </w:rPr>
            </w:pPr>
            <w:r>
              <w:rPr>
                <w:rFonts w:hint="eastAsia" w:ascii="宋体" w:hAnsi="宋体" w:cs="宋体"/>
                <w:color w:val="000000"/>
                <w:sz w:val="24"/>
                <w:highlight w:val="none"/>
              </w:rPr>
              <w:t>▲</w:t>
            </w:r>
            <w:r>
              <w:rPr>
                <w:rFonts w:hint="eastAsia" w:ascii="宋体" w:hAnsi="宋体"/>
                <w:sz w:val="24"/>
                <w:highlight w:val="none"/>
              </w:rPr>
              <w:t>12、定制校名和LOGO。</w:t>
            </w:r>
          </w:p>
          <w:p w14:paraId="4DEEC9BB">
            <w:pPr>
              <w:spacing w:line="420" w:lineRule="exact"/>
              <w:rPr>
                <w:rFonts w:ascii="宋体" w:hAnsi="宋体"/>
                <w:sz w:val="24"/>
                <w:highlight w:val="none"/>
              </w:rPr>
            </w:pPr>
            <w:r>
              <w:rPr>
                <w:rFonts w:hint="eastAsia" w:ascii="宋体" w:hAnsi="宋体"/>
                <w:sz w:val="24"/>
                <w:highlight w:val="none"/>
              </w:rPr>
              <w:t>包含36个独立桨包合2个大桨包，桨包印校名和LOGO。</w:t>
            </w:r>
          </w:p>
        </w:tc>
      </w:tr>
      <w:tr w14:paraId="2D20F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08" w:type="dxa"/>
          </w:tcPr>
          <w:p w14:paraId="44C33E0A">
            <w:pPr>
              <w:widowControl/>
              <w:jc w:val="center"/>
              <w:rPr>
                <w:rFonts w:ascii="宋体" w:hAnsi="宋体" w:cs="Helvetica"/>
                <w:sz w:val="24"/>
                <w:highlight w:val="none"/>
              </w:rPr>
            </w:pPr>
            <w:r>
              <w:rPr>
                <w:rFonts w:hint="eastAsia" w:ascii="宋体" w:hAnsi="宋体" w:cs="Helvetica"/>
                <w:sz w:val="24"/>
                <w:highlight w:val="none"/>
              </w:rPr>
              <w:t>3</w:t>
            </w:r>
          </w:p>
        </w:tc>
        <w:tc>
          <w:tcPr>
            <w:tcW w:w="1559" w:type="dxa"/>
            <w:vAlign w:val="center"/>
          </w:tcPr>
          <w:p w14:paraId="112FDC54">
            <w:pPr>
              <w:jc w:val="center"/>
              <w:rPr>
                <w:rFonts w:ascii="宋体" w:hAnsi="宋体"/>
                <w:sz w:val="24"/>
                <w:highlight w:val="none"/>
              </w:rPr>
            </w:pPr>
            <w:r>
              <w:rPr>
                <w:rFonts w:hint="eastAsia" w:ascii="宋体" w:hAnsi="宋体"/>
                <w:sz w:val="24"/>
                <w:highlight w:val="none"/>
              </w:rPr>
              <w:t>竞赛专用救生衣</w:t>
            </w:r>
          </w:p>
        </w:tc>
        <w:tc>
          <w:tcPr>
            <w:tcW w:w="6210" w:type="dxa"/>
            <w:vAlign w:val="center"/>
          </w:tcPr>
          <w:p w14:paraId="74243C0F">
            <w:pPr>
              <w:spacing w:line="420" w:lineRule="exact"/>
              <w:rPr>
                <w:rFonts w:hint="eastAsia" w:ascii="宋体" w:hAnsi="宋体"/>
                <w:sz w:val="24"/>
                <w:highlight w:val="none"/>
              </w:rPr>
            </w:pPr>
            <w:r>
              <w:rPr>
                <w:rFonts w:hint="eastAsia" w:ascii="宋体" w:hAnsi="宋体"/>
                <w:sz w:val="24"/>
                <w:highlight w:val="none"/>
              </w:rPr>
              <w:t>采用高密度浮力泡沫材料，单件浮力≥9公斤，可承载95公斤体重成人。</w:t>
            </w:r>
          </w:p>
        </w:tc>
      </w:tr>
    </w:tbl>
    <w:p w14:paraId="64E8F885">
      <w:pPr>
        <w:spacing w:line="300" w:lineRule="auto"/>
        <w:ind w:firstLine="420" w:firstLineChars="200"/>
        <w:rPr>
          <w:rFonts w:ascii="宋体" w:hAnsi="宋体"/>
          <w:color w:val="000000"/>
          <w:szCs w:val="21"/>
          <w:highlight w:val="none"/>
        </w:rPr>
      </w:pPr>
    </w:p>
    <w:p w14:paraId="5892F9DB">
      <w:pPr>
        <w:spacing w:line="300" w:lineRule="auto"/>
        <w:ind w:firstLine="480" w:firstLineChars="200"/>
        <w:rPr>
          <w:rFonts w:ascii="宋体" w:hAnsi="宋体"/>
          <w:color w:val="000000"/>
          <w:sz w:val="24"/>
          <w:highlight w:val="none"/>
        </w:rPr>
      </w:pPr>
      <w:r>
        <w:rPr>
          <w:rFonts w:hint="eastAsia" w:ascii="宋体" w:hAnsi="宋体"/>
          <w:sz w:val="24"/>
          <w:highlight w:val="none"/>
        </w:rPr>
        <w:t>★</w:t>
      </w:r>
      <w:r>
        <w:rPr>
          <w:rFonts w:hint="eastAsia" w:ascii="宋体" w:hAnsi="宋体"/>
          <w:color w:val="000000"/>
          <w:sz w:val="24"/>
          <w:highlight w:val="none"/>
        </w:rPr>
        <w:t>四、商务要求</w:t>
      </w:r>
    </w:p>
    <w:tbl>
      <w:tblPr>
        <w:tblStyle w:val="2"/>
        <w:tblpPr w:leftFromText="180" w:rightFromText="180" w:vertAnchor="text" w:horzAnchor="page" w:tblpX="2277" w:tblpY="166"/>
        <w:tblOverlap w:val="never"/>
        <w:tblW w:w="8528" w:type="dxa"/>
        <w:tblInd w:w="0" w:type="dxa"/>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Layout w:type="fixed"/>
        <w:tblCellMar>
          <w:top w:w="0" w:type="dxa"/>
          <w:left w:w="108" w:type="dxa"/>
          <w:bottom w:w="0" w:type="dxa"/>
          <w:right w:w="108" w:type="dxa"/>
        </w:tblCellMar>
      </w:tblPr>
      <w:tblGrid>
        <w:gridCol w:w="2071"/>
        <w:gridCol w:w="6457"/>
      </w:tblGrid>
      <w:tr w14:paraId="5C6251EE">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14"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98823D9">
            <w:pPr>
              <w:shd w:val="solid" w:color="FFFFFF" w:fill="auto"/>
              <w:autoSpaceDN w:val="0"/>
              <w:snapToGrid w:val="0"/>
              <w:spacing w:line="360" w:lineRule="auto"/>
              <w:jc w:val="center"/>
              <w:rPr>
                <w:rFonts w:ascii="宋体" w:hAnsi="宋体"/>
                <w:color w:val="000000"/>
                <w:szCs w:val="21"/>
                <w:highlight w:val="none"/>
                <w:shd w:val="clear" w:color="auto" w:fill="FFFFFF"/>
              </w:rPr>
            </w:pPr>
            <w:r>
              <w:rPr>
                <w:rFonts w:ascii="宋体" w:hAnsi="宋体"/>
                <w:color w:val="000000"/>
                <w:szCs w:val="21"/>
                <w:highlight w:val="none"/>
                <w:shd w:val="clear" w:color="auto" w:fill="FFFFFF"/>
              </w:rPr>
              <w:t>质保期</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6D3F4C8">
            <w:pPr>
              <w:shd w:val="solid" w:color="FFFFFF" w:fill="auto"/>
              <w:autoSpaceDN w:val="0"/>
              <w:snapToGrid w:val="0"/>
              <w:spacing w:line="360" w:lineRule="auto"/>
              <w:jc w:val="left"/>
              <w:rPr>
                <w:rFonts w:ascii="宋体" w:hAnsi="宋体"/>
                <w:szCs w:val="21"/>
                <w:highlight w:val="none"/>
                <w:shd w:val="clear" w:color="auto" w:fill="FFFFFF"/>
              </w:rPr>
            </w:pPr>
            <w:r>
              <w:rPr>
                <w:rFonts w:hint="eastAsia" w:ascii="宋体" w:hAnsi="宋体"/>
                <w:szCs w:val="21"/>
                <w:highlight w:val="none"/>
                <w:shd w:val="clear" w:color="auto" w:fill="FFFFFF"/>
              </w:rPr>
              <w:t>质保期</w:t>
            </w:r>
            <w:r>
              <w:rPr>
                <w:rFonts w:ascii="宋体" w:hAnsi="宋体"/>
                <w:szCs w:val="21"/>
                <w:highlight w:val="none"/>
                <w:shd w:val="clear" w:color="auto" w:fill="FFFFFF"/>
              </w:rPr>
              <w:t>12个月</w:t>
            </w:r>
            <w:r>
              <w:rPr>
                <w:rFonts w:hint="eastAsia" w:ascii="宋体" w:hAnsi="宋体"/>
                <w:szCs w:val="21"/>
                <w:highlight w:val="none"/>
                <w:shd w:val="clear" w:color="auto" w:fill="FFFFFF"/>
              </w:rPr>
              <w:t>。</w:t>
            </w:r>
          </w:p>
        </w:tc>
      </w:tr>
      <w:tr w14:paraId="7F29994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719"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42EDF6EB">
            <w:pPr>
              <w:shd w:val="solid" w:color="FFFFFF" w:fill="auto"/>
              <w:autoSpaceDN w:val="0"/>
              <w:snapToGrid w:val="0"/>
              <w:spacing w:line="360" w:lineRule="auto"/>
              <w:jc w:val="center"/>
              <w:rPr>
                <w:rFonts w:ascii="宋体" w:hAnsi="宋体"/>
                <w:color w:val="000000"/>
                <w:szCs w:val="21"/>
                <w:highlight w:val="none"/>
                <w:shd w:val="clear" w:color="auto" w:fill="FFFFFF"/>
              </w:rPr>
            </w:pPr>
            <w:r>
              <w:rPr>
                <w:rFonts w:ascii="宋体" w:hAnsi="宋体"/>
                <w:color w:val="000000"/>
                <w:szCs w:val="21"/>
                <w:highlight w:val="none"/>
                <w:shd w:val="clear" w:color="auto" w:fill="FFFFFF"/>
              </w:rPr>
              <w:t>售后技术服务要求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6FED0136">
            <w:pPr>
              <w:shd w:val="solid" w:color="FFFFFF" w:fill="auto"/>
              <w:autoSpaceDN w:val="0"/>
              <w:snapToGrid w:val="0"/>
              <w:spacing w:line="360" w:lineRule="auto"/>
              <w:jc w:val="left"/>
              <w:rPr>
                <w:rFonts w:ascii="宋体" w:hAnsi="宋体"/>
                <w:szCs w:val="21"/>
                <w:highlight w:val="none"/>
                <w:shd w:val="clear" w:color="auto" w:fill="FFFFFF"/>
              </w:rPr>
            </w:pPr>
            <w:r>
              <w:rPr>
                <w:rFonts w:ascii="宋体" w:hAnsi="宋体"/>
                <w:szCs w:val="21"/>
                <w:highlight w:val="none"/>
                <w:shd w:val="clear" w:color="auto" w:fill="FFFFFF"/>
              </w:rPr>
              <w:t>含安装、调试、维修、保养、人员培训等。</w:t>
            </w:r>
          </w:p>
          <w:p w14:paraId="65E0E121">
            <w:pPr>
              <w:shd w:val="solid" w:color="FFFFFF" w:fill="auto"/>
              <w:autoSpaceDN w:val="0"/>
              <w:snapToGrid w:val="0"/>
              <w:spacing w:line="360" w:lineRule="auto"/>
              <w:jc w:val="left"/>
              <w:rPr>
                <w:rFonts w:ascii="宋体" w:hAnsi="宋体"/>
                <w:szCs w:val="21"/>
                <w:highlight w:val="none"/>
                <w:shd w:val="clear" w:color="auto" w:fill="FFFFFF"/>
              </w:rPr>
            </w:pPr>
            <w:r>
              <w:rPr>
                <w:rFonts w:hint="eastAsia" w:ascii="宋体" w:hAnsi="宋体"/>
                <w:szCs w:val="21"/>
                <w:highlight w:val="none"/>
                <w:shd w:val="clear" w:color="auto" w:fill="FFFFFF"/>
              </w:rPr>
              <w:t>培训仅限于基本操作培训。</w:t>
            </w:r>
          </w:p>
        </w:tc>
      </w:tr>
      <w:tr w14:paraId="5139342A">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577"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79EB623C">
            <w:pPr>
              <w:shd w:val="solid" w:color="FFFFFF" w:fill="auto"/>
              <w:autoSpaceDN w:val="0"/>
              <w:snapToGrid w:val="0"/>
              <w:spacing w:line="360" w:lineRule="auto"/>
              <w:jc w:val="center"/>
              <w:rPr>
                <w:rFonts w:ascii="宋体" w:hAnsi="宋体"/>
                <w:color w:val="000000"/>
                <w:szCs w:val="21"/>
                <w:highlight w:val="none"/>
                <w:shd w:val="clear" w:color="auto" w:fill="FFFFFF"/>
              </w:rPr>
            </w:pPr>
            <w:r>
              <w:rPr>
                <w:rFonts w:ascii="宋体" w:hAnsi="宋体"/>
                <w:color w:val="000000"/>
                <w:szCs w:val="21"/>
                <w:highlight w:val="none"/>
                <w:shd w:val="clear" w:color="auto" w:fill="FFFFFF"/>
              </w:rPr>
              <w:t>交货时间</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6247F6C">
            <w:pPr>
              <w:shd w:val="solid" w:color="FFFFFF" w:fill="auto"/>
              <w:autoSpaceDN w:val="0"/>
              <w:snapToGrid w:val="0"/>
              <w:spacing w:after="100" w:afterAutospacing="1"/>
              <w:jc w:val="left"/>
              <w:rPr>
                <w:rFonts w:ascii="宋体" w:hAnsi="宋体"/>
                <w:szCs w:val="21"/>
                <w:highlight w:val="none"/>
                <w:shd w:val="clear" w:color="auto" w:fill="FFFFFF"/>
              </w:rPr>
            </w:pPr>
            <w:r>
              <w:rPr>
                <w:rFonts w:hint="eastAsia" w:ascii="宋体" w:hAnsi="宋体" w:cs="宋体"/>
                <w:highlight w:val="none"/>
              </w:rPr>
              <w:t>合同签订生效</w:t>
            </w:r>
            <w:r>
              <w:rPr>
                <w:rFonts w:hint="eastAsia" w:ascii="宋体" w:hAnsi="宋体" w:cs="宋体"/>
                <w:szCs w:val="21"/>
                <w:highlight w:val="none"/>
              </w:rPr>
              <w:t xml:space="preserve">后 </w:t>
            </w:r>
            <w:r>
              <w:rPr>
                <w:rFonts w:hint="eastAsia" w:ascii="宋体" w:hAnsi="宋体" w:cs="宋体"/>
                <w:szCs w:val="21"/>
                <w:highlight w:val="none"/>
                <w:u w:val="single"/>
              </w:rPr>
              <w:t xml:space="preserve"> 30 </w:t>
            </w:r>
            <w:r>
              <w:rPr>
                <w:rFonts w:hint="eastAsia" w:ascii="宋体" w:hAnsi="宋体" w:cs="宋体"/>
                <w:szCs w:val="21"/>
                <w:highlight w:val="none"/>
                <w:u w:val="single"/>
                <w:lang w:eastAsia="zh-CN"/>
              </w:rPr>
              <w:t>日历</w:t>
            </w:r>
            <w:r>
              <w:rPr>
                <w:rFonts w:hint="eastAsia" w:ascii="宋体" w:hAnsi="宋体" w:cs="宋体"/>
                <w:szCs w:val="21"/>
                <w:highlight w:val="none"/>
              </w:rPr>
              <w:t>天内。</w:t>
            </w:r>
            <w:r>
              <w:rPr>
                <w:rFonts w:hint="eastAsia" w:ascii="宋体" w:hAnsi="宋体" w:cs="宋体"/>
                <w:highlight w:val="none"/>
              </w:rPr>
              <w:t>逾期提供货物，每天按合同款总额2‰的额度支付延期交货违约金（具体见第五章合同条款）。</w:t>
            </w:r>
          </w:p>
        </w:tc>
      </w:tr>
      <w:tr w14:paraId="3294C5DF">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478"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A93189C">
            <w:pPr>
              <w:shd w:val="solid" w:color="FFFFFF" w:fill="auto"/>
              <w:autoSpaceDN w:val="0"/>
              <w:snapToGrid w:val="0"/>
              <w:spacing w:line="360" w:lineRule="auto"/>
              <w:jc w:val="center"/>
              <w:rPr>
                <w:rFonts w:ascii="宋体" w:hAnsi="宋体"/>
                <w:color w:val="000000"/>
                <w:szCs w:val="21"/>
                <w:highlight w:val="none"/>
                <w:shd w:val="clear" w:color="auto" w:fill="FFFFFF"/>
              </w:rPr>
            </w:pPr>
            <w:r>
              <w:rPr>
                <w:rFonts w:ascii="宋体" w:hAnsi="宋体"/>
                <w:color w:val="000000"/>
                <w:szCs w:val="21"/>
                <w:highlight w:val="none"/>
                <w:shd w:val="clear" w:color="auto" w:fill="FFFFFF"/>
              </w:rPr>
              <w:t>付款方式</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823DAFC">
            <w:pPr>
              <w:shd w:val="solid" w:color="FFFFFF" w:fill="auto"/>
              <w:autoSpaceDN w:val="0"/>
              <w:snapToGrid w:val="0"/>
              <w:spacing w:line="360" w:lineRule="auto"/>
              <w:jc w:val="left"/>
              <w:rPr>
                <w:rFonts w:ascii="宋体" w:hAnsi="宋体"/>
                <w:color w:val="000000"/>
                <w:szCs w:val="21"/>
                <w:highlight w:val="none"/>
                <w:shd w:val="clear" w:color="auto" w:fill="FFFFFF"/>
              </w:rPr>
            </w:pPr>
            <w:r>
              <w:rPr>
                <w:rFonts w:ascii="宋体" w:hAnsi="宋体"/>
                <w:color w:val="000000"/>
                <w:szCs w:val="21"/>
                <w:highlight w:val="none"/>
                <w:shd w:val="clear" w:color="auto" w:fill="FFFFFF"/>
              </w:rPr>
              <w:t>见</w:t>
            </w:r>
            <w:r>
              <w:rPr>
                <w:rFonts w:hint="eastAsia"/>
                <w:szCs w:val="21"/>
                <w:highlight w:val="none"/>
              </w:rPr>
              <w:t>第五章合同条款</w:t>
            </w:r>
          </w:p>
        </w:tc>
      </w:tr>
      <w:tr w14:paraId="04D7D6C9">
        <w:tblPrEx>
          <w:tblBorders>
            <w:top w:val="single" w:color="000000" w:sz="4" w:space="0"/>
            <w:left w:val="single" w:color="000000" w:sz="4" w:space="0"/>
            <w:bottom w:val="single" w:color="000000" w:sz="4" w:space="0"/>
            <w:right w:val="single" w:color="000000" w:sz="4" w:space="0"/>
            <w:insideH w:val="none" w:color="auto" w:sz="0" w:space="0"/>
            <w:insideV w:val="none" w:color="auto" w:sz="0" w:space="0"/>
          </w:tblBorders>
          <w:tblCellMar>
            <w:top w:w="0" w:type="dxa"/>
            <w:left w:w="108" w:type="dxa"/>
            <w:bottom w:w="0" w:type="dxa"/>
            <w:right w:w="108" w:type="dxa"/>
          </w:tblCellMar>
        </w:tblPrEx>
        <w:trPr>
          <w:trHeight w:val="925" w:hRule="atLeast"/>
        </w:trPr>
        <w:tc>
          <w:tcPr>
            <w:tcW w:w="2071"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1077CB10">
            <w:pPr>
              <w:shd w:val="solid" w:color="FFFFFF" w:fill="auto"/>
              <w:autoSpaceDN w:val="0"/>
              <w:snapToGrid w:val="0"/>
              <w:spacing w:line="360" w:lineRule="auto"/>
              <w:jc w:val="center"/>
              <w:rPr>
                <w:rFonts w:ascii="宋体" w:hAnsi="宋体"/>
                <w:color w:val="000000"/>
                <w:szCs w:val="21"/>
                <w:highlight w:val="none"/>
                <w:shd w:val="clear" w:color="auto" w:fill="FFFFFF"/>
              </w:rPr>
            </w:pPr>
            <w:r>
              <w:rPr>
                <w:rFonts w:ascii="宋体" w:hAnsi="宋体"/>
                <w:color w:val="000000"/>
                <w:szCs w:val="21"/>
                <w:highlight w:val="none"/>
                <w:shd w:val="clear" w:color="auto" w:fill="FFFFFF"/>
              </w:rPr>
              <w:t>售后服务保障或维修响应时间要求</w:t>
            </w:r>
          </w:p>
        </w:tc>
        <w:tc>
          <w:tcPr>
            <w:tcW w:w="6457" w:type="dxa"/>
            <w:tcBorders>
              <w:top w:val="single" w:color="000000" w:sz="4" w:space="0"/>
              <w:left w:val="single" w:color="000000" w:sz="4" w:space="0"/>
              <w:bottom w:val="single" w:color="000000" w:sz="4" w:space="0"/>
              <w:right w:val="single" w:color="000000" w:sz="4" w:space="0"/>
            </w:tcBorders>
            <w:shd w:val="solid" w:color="FFFFFF" w:fill="auto"/>
            <w:tcMar>
              <w:top w:w="0" w:type="dxa"/>
              <w:left w:w="108" w:type="dxa"/>
              <w:bottom w:w="0" w:type="dxa"/>
              <w:right w:w="108" w:type="dxa"/>
            </w:tcMar>
            <w:vAlign w:val="center"/>
          </w:tcPr>
          <w:p w14:paraId="5EB5F07D">
            <w:pPr>
              <w:shd w:val="solid" w:color="FFFFFF" w:fill="auto"/>
              <w:autoSpaceDN w:val="0"/>
              <w:snapToGrid w:val="0"/>
              <w:spacing w:line="360" w:lineRule="auto"/>
              <w:jc w:val="left"/>
              <w:rPr>
                <w:rFonts w:ascii="宋体" w:hAnsi="宋体"/>
                <w:color w:val="000000"/>
                <w:szCs w:val="21"/>
                <w:highlight w:val="none"/>
                <w:shd w:val="clear" w:color="auto" w:fill="FFFFFF"/>
              </w:rPr>
            </w:pPr>
            <w:r>
              <w:rPr>
                <w:rFonts w:hint="eastAsia" w:ascii="宋体" w:hAnsi="宋体" w:cs="宋体"/>
                <w:szCs w:val="21"/>
                <w:highlight w:val="none"/>
              </w:rPr>
              <w:t>乙方</w:t>
            </w:r>
            <w:r>
              <w:rPr>
                <w:rFonts w:hint="eastAsia" w:ascii="宋体" w:hAnsi="宋体" w:cs="宋体"/>
                <w:szCs w:val="21"/>
                <w:highlight w:val="none"/>
                <w:u w:val="single"/>
              </w:rPr>
              <w:t xml:space="preserve"> 7 </w:t>
            </w:r>
            <w:r>
              <w:rPr>
                <w:rFonts w:hint="eastAsia" w:ascii="宋体" w:hAnsi="宋体" w:cs="宋体"/>
                <w:szCs w:val="21"/>
                <w:highlight w:val="none"/>
              </w:rPr>
              <w:t>小时内响应甲方的维修要求，</w:t>
            </w:r>
            <w:r>
              <w:rPr>
                <w:rFonts w:hint="eastAsia" w:ascii="宋体" w:hAnsi="宋体" w:cs="宋体"/>
                <w:szCs w:val="21"/>
                <w:highlight w:val="none"/>
                <w:u w:val="single"/>
              </w:rPr>
              <w:t xml:space="preserve"> 24 </w:t>
            </w:r>
            <w:r>
              <w:rPr>
                <w:rFonts w:hint="eastAsia" w:ascii="宋体" w:hAnsi="宋体" w:cs="宋体"/>
                <w:szCs w:val="21"/>
                <w:highlight w:val="none"/>
              </w:rPr>
              <w:t>小时内解决，如超过</w:t>
            </w:r>
            <w:r>
              <w:rPr>
                <w:rFonts w:hint="eastAsia" w:ascii="宋体" w:hAnsi="宋体" w:cs="宋体"/>
                <w:szCs w:val="21"/>
                <w:highlight w:val="none"/>
                <w:u w:val="single"/>
              </w:rPr>
              <w:t xml:space="preserve"> 48 </w:t>
            </w:r>
            <w:r>
              <w:rPr>
                <w:rFonts w:hint="eastAsia" w:ascii="宋体" w:hAnsi="宋体" w:cs="宋体"/>
                <w:szCs w:val="21"/>
                <w:highlight w:val="none"/>
              </w:rPr>
              <w:t>小时仍不能解决，由乙方在</w:t>
            </w:r>
            <w:r>
              <w:rPr>
                <w:rFonts w:hint="eastAsia" w:ascii="宋体" w:hAnsi="宋体" w:cs="宋体"/>
                <w:szCs w:val="21"/>
                <w:highlight w:val="none"/>
                <w:u w:val="single"/>
              </w:rPr>
              <w:t xml:space="preserve"> 72 </w:t>
            </w:r>
            <w:r>
              <w:rPr>
                <w:rFonts w:hint="eastAsia" w:ascii="宋体" w:hAnsi="宋体" w:cs="宋体"/>
                <w:szCs w:val="21"/>
                <w:highlight w:val="none"/>
              </w:rPr>
              <w:t>小时内提供性能不低于故障产品的备用产品。</w:t>
            </w:r>
          </w:p>
        </w:tc>
      </w:tr>
    </w:tbl>
    <w:p w14:paraId="67579BA8">
      <w:pPr>
        <w:spacing w:line="300" w:lineRule="auto"/>
        <w:ind w:firstLine="480" w:firstLineChars="200"/>
        <w:rPr>
          <w:rFonts w:ascii="宋体" w:hAnsi="宋体"/>
          <w:color w:val="000000"/>
          <w:sz w:val="24"/>
          <w:highlight w:val="none"/>
        </w:rPr>
      </w:pPr>
    </w:p>
    <w:p w14:paraId="051244D9">
      <w:pPr>
        <w:spacing w:line="300" w:lineRule="auto"/>
        <w:ind w:firstLine="480" w:firstLineChars="200"/>
        <w:rPr>
          <w:rFonts w:ascii="宋体" w:hAnsi="宋体"/>
          <w:color w:val="000000"/>
          <w:sz w:val="24"/>
          <w:highlight w:val="none"/>
        </w:rPr>
      </w:pPr>
    </w:p>
    <w:p w14:paraId="12A81740">
      <w:pPr>
        <w:spacing w:line="300" w:lineRule="auto"/>
        <w:ind w:firstLine="482" w:firstLineChars="200"/>
        <w:rPr>
          <w:rFonts w:ascii="宋体" w:hAnsi="宋体"/>
          <w:b/>
          <w:color w:val="000000"/>
          <w:sz w:val="24"/>
          <w:highlight w:val="none"/>
        </w:rPr>
      </w:pPr>
      <w:r>
        <w:rPr>
          <w:rFonts w:hint="eastAsia" w:ascii="宋体" w:hAnsi="宋体"/>
          <w:b/>
          <w:color w:val="000000"/>
          <w:sz w:val="24"/>
          <w:highlight w:val="none"/>
        </w:rPr>
        <w:t>五、履约验收要求</w:t>
      </w:r>
    </w:p>
    <w:p w14:paraId="7177B380">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中标人严格按约定时间供货，提供的货物必须符合我国最新颁布的与之相关的技术规范与标准，成品货物的到货验收包括但不限于：品名、品牌、尺码、数量、质量、铭牌、产品外观及外包装完整无破损。</w:t>
      </w:r>
    </w:p>
    <w:p w14:paraId="49D9912B">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中标人应将所提供货物的装箱清单、用户手册、原厂保修卡、随机资料及配件工具等交付给采购人。中标人不能完整交付货物及本款规定的单证和工具的，视为未按合同约定交货，应负责补齐，因此导致逾期交付的，由中标人承担相关的违约责任。</w:t>
      </w:r>
    </w:p>
    <w:p w14:paraId="4D1C94DD">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中标人在交货前应对所有货物初步检查，并列出清单，作为采购人收货验收和使用的技术条件依据，清单应随货物一起交付采购人。</w:t>
      </w:r>
    </w:p>
    <w:p w14:paraId="574FBC1D">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货物运抵采购人指定地点，采购人检查和记录外包装及设备外观状况有无破损、锈蚀、受潮等，按合同和装箱单对货物的外观、质量、型号、规格、数量、配件及附件等进行清点检验。清点无误后中标方需在3天内开始组织安装、调试、培训，并取得相关完成凭证提交采购人。</w:t>
      </w:r>
    </w:p>
    <w:p w14:paraId="352F99A3">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采购人试运行合格两周内依法组织验收工作。采购人在组织履约验收前，将根据项目特点制定验收方案，明确履约验收的时间、方式、程序等内容，中标人应根据验收方案内容做好相应配合工作。如有必要，采购人邀请参加本项目的其他供应商或第三方专业机构及专家参与验收，相关意见将作为验收的参考资料。采购人成立验收小组，按照采购合同的约定对中标人的履约情况进行验收。验收时，采购人按照合同、招投标文件及货物说明书中的技术参数对货物的功能、技术指标逐项进行确认。采购人有权选择部分货物由质量监督检测部门进行检测，各项指标必须符合招投标文件的要求；未达到要求，且对采购人造成损失的，由中标人承担一切责任，并赔偿所造成的损失。</w:t>
      </w:r>
    </w:p>
    <w:p w14:paraId="21EFD6B0">
      <w:pPr>
        <w:spacing w:line="300" w:lineRule="auto"/>
        <w:ind w:firstLine="480" w:firstLineChars="200"/>
        <w:rPr>
          <w:rFonts w:ascii="宋体" w:hAnsi="宋体"/>
          <w:color w:val="000000"/>
          <w:sz w:val="24"/>
          <w:highlight w:val="none"/>
        </w:rPr>
      </w:pPr>
      <w:r>
        <w:rPr>
          <w:rFonts w:hint="eastAsia" w:ascii="宋体" w:hAnsi="宋体"/>
          <w:color w:val="000000"/>
          <w:sz w:val="24"/>
          <w:highlight w:val="none"/>
        </w:rPr>
        <w:t>验收结束后，验收小组出具验收报告，列明各项标准的验收情况及项目总体评价。验收合格的项目，采购人根据采购合同的约定及时向中</w:t>
      </w:r>
      <w:bookmarkStart w:id="0" w:name="_GoBack"/>
      <w:bookmarkEnd w:id="0"/>
      <w:r>
        <w:rPr>
          <w:rFonts w:hint="eastAsia" w:ascii="宋体" w:hAnsi="宋体"/>
          <w:color w:val="000000"/>
          <w:sz w:val="24"/>
          <w:highlight w:val="none"/>
        </w:rPr>
        <w:t>标人支付合同款项、退还履约保证金。验收不合格的项目，采购人依法及时处理。采购合同的履行、违约责任和解决争议的方式等适用《中华人民共和国民法典》。中标人在履约过程中有政府采购法律法规规定的违法违规情形的，采购人将及时报告相关管理部门。</w:t>
      </w:r>
    </w:p>
    <w:p w14:paraId="7B4E1A3E">
      <w:pPr>
        <w:spacing w:line="300" w:lineRule="auto"/>
        <w:ind w:firstLine="482" w:firstLineChars="200"/>
        <w:rPr>
          <w:rFonts w:ascii="宋体" w:hAnsi="宋体"/>
          <w:b/>
          <w:color w:val="000000"/>
          <w:sz w:val="24"/>
          <w:highlight w:val="none"/>
        </w:rPr>
      </w:pPr>
      <w:r>
        <w:rPr>
          <w:rFonts w:hint="eastAsia" w:ascii="宋体" w:hAnsi="宋体"/>
          <w:b/>
          <w:color w:val="000000"/>
          <w:sz w:val="24"/>
          <w:highlight w:val="none"/>
        </w:rPr>
        <w:t>六、其它要求</w:t>
      </w:r>
    </w:p>
    <w:p w14:paraId="7EB9DA38">
      <w:pPr>
        <w:spacing w:line="300" w:lineRule="auto"/>
        <w:ind w:firstLine="480" w:firstLineChars="200"/>
        <w:rPr>
          <w:rFonts w:ascii="宋体" w:hAnsi="宋体" w:cs="MS Shell Dlg"/>
          <w:sz w:val="24"/>
          <w:highlight w:val="none"/>
        </w:rPr>
      </w:pPr>
      <w:r>
        <w:rPr>
          <w:rFonts w:hint="eastAsia" w:ascii="宋体" w:hAnsi="宋体" w:cs="MS Shell Dlg"/>
          <w:sz w:val="24"/>
          <w:highlight w:val="none"/>
        </w:rPr>
        <w:t>(1)因不同投标人的设备设计原理未必完全相同，投标人可视自身情况配置设备及附件，但应能充分满足招标人的功能及参数要求。</w:t>
      </w:r>
    </w:p>
    <w:p w14:paraId="12A1E06A">
      <w:pPr>
        <w:spacing w:line="300" w:lineRule="auto"/>
        <w:ind w:firstLine="480" w:firstLineChars="200"/>
        <w:rPr>
          <w:rFonts w:ascii="宋体" w:hAnsi="宋体" w:cs="MS Shell Dlg"/>
          <w:sz w:val="24"/>
          <w:highlight w:val="none"/>
        </w:rPr>
      </w:pPr>
      <w:r>
        <w:rPr>
          <w:rFonts w:hint="eastAsia" w:ascii="宋体" w:hAnsi="宋体" w:cs="MS Shell Dlg"/>
          <w:sz w:val="24"/>
          <w:highlight w:val="none"/>
        </w:rPr>
        <w:t>(2)投标人应保证提供满足招标人正常使用的必要配置及附件而不再需要花费任何额外的费用，即使采购方在制定招标书时要求不够具体。安装后就能正常工作。</w:t>
      </w:r>
    </w:p>
    <w:p w14:paraId="1EC00257">
      <w:pPr>
        <w:spacing w:line="300" w:lineRule="auto"/>
        <w:ind w:firstLine="480" w:firstLineChars="200"/>
        <w:rPr>
          <w:rFonts w:ascii="宋体" w:hAnsi="宋体" w:cs="MS Shell Dlg"/>
          <w:sz w:val="24"/>
          <w:highlight w:val="none"/>
        </w:rPr>
      </w:pPr>
      <w:r>
        <w:rPr>
          <w:rFonts w:hint="eastAsia" w:ascii="宋体" w:hAnsi="宋体" w:cs="MS Shell Dlg"/>
          <w:sz w:val="24"/>
          <w:highlight w:val="none"/>
        </w:rPr>
        <w:t>(3)房屋装修改造工程室内环境必须符合GB50325-2001《民用建筑工程室内环境污染控制规范》,并达到GB/T18883-2002《室内空气质量标准》，项目竣工后由中标人委托市级及以上检测机构进行检测并出具合格报告，如无合格报告，招标人不予验收，中标人进行整改直至合格，造成工期延误的，责任由中标人承担。</w:t>
      </w:r>
    </w:p>
    <w:p w14:paraId="3974926D">
      <w:pPr>
        <w:rPr>
          <w:highlight w:val="none"/>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Helvetica">
    <w:altName w:val="Arial"/>
    <w:panose1 w:val="020B0604020202030204"/>
    <w:charset w:val="00"/>
    <w:family w:val="swiss"/>
    <w:pitch w:val="default"/>
    <w:sig w:usb0="00000000" w:usb1="00000000" w:usb2="00000000" w:usb3="00000000" w:csb0="00000000" w:csb1="00000000"/>
  </w:font>
  <w:font w:name="MS Shell Dlg">
    <w:altName w:val="Microsoft Sans Serif"/>
    <w:panose1 w:val="020B0604020202020204"/>
    <w:charset w:val="00"/>
    <w:family w:val="swiss"/>
    <w:pitch w:val="default"/>
    <w:sig w:usb0="00000000" w:usb1="00000000" w:usb2="00000008"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C6791D"/>
    <w:rsid w:val="030E6BBE"/>
    <w:rsid w:val="09101BBC"/>
    <w:rsid w:val="091F0E9B"/>
    <w:rsid w:val="09623170"/>
    <w:rsid w:val="17092182"/>
    <w:rsid w:val="1C7B16F4"/>
    <w:rsid w:val="1D6F7A38"/>
    <w:rsid w:val="22463CF8"/>
    <w:rsid w:val="270D3B54"/>
    <w:rsid w:val="28EF7EF7"/>
    <w:rsid w:val="2B0679B7"/>
    <w:rsid w:val="2E5A6C8B"/>
    <w:rsid w:val="31F83B0E"/>
    <w:rsid w:val="33722611"/>
    <w:rsid w:val="38742C06"/>
    <w:rsid w:val="3A296990"/>
    <w:rsid w:val="470615DE"/>
    <w:rsid w:val="4CFB377C"/>
    <w:rsid w:val="52766386"/>
    <w:rsid w:val="56C6791D"/>
    <w:rsid w:val="607C3374"/>
    <w:rsid w:val="69683078"/>
    <w:rsid w:val="6E0C6685"/>
    <w:rsid w:val="7B4D5003"/>
    <w:rsid w:val="7DB12F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2026-06-12T01:08:00Z</dcterms:created>
  <dc:creator>WD..</dc:creator>
  <cp:lastModifiedBy>WD..</cp:lastModifiedBy>
  <dcterms:modified xsi:type="dcterms:W3CDTF">2026-06-12T01:10:45Z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BC4F67DEE3804252AFBD685F0CA0169E_11</vt:lpwstr>
  </property>
  <property fmtid="{D5CDD505-2E9C-101B-9397-08002B2CF9AE}" pid="4" name="KSOTemplateDocerSaveRecord">
    <vt:lpwstr>eyJoZGlkIjoiZWNkMTE4ZjYyNTk1NDdlYjc5MWM1MjYwM2E5YjgyM2YiLCJ1c2VySWQiOiI0MzIxMTkxMDIifQ==</vt:lpwstr>
  </property>
</Properties>
</file>