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CF131">
      <w:pPr>
        <w:pStyle w:val="4"/>
        <w:jc w:val="center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采购需求</w:t>
      </w:r>
    </w:p>
    <w:p w14:paraId="2878A6ED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一、课程概要</w:t>
      </w:r>
    </w:p>
    <w:p w14:paraId="4C03C4EB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《人工智能与跨学科创新实践课程》立足数智时代发展背景，面向工科学生跨学科培养需求，聚焦人工智能技术、多学科交叉融合、创新思维训练与工程实践落地。课程打破单一学科壁垒，将人工智能理论技术与机械工程、智能制造、自动化等工科知识深度结合，融入全球发展视野与真实产业案例，采用理论讲授、案例研讨与项目实操相结合的模式，引导学生掌握跨领域分析方法与智能产品创新设计思路，构建“专业基础+人工智能+创新实践”复合型知识体系，明晰科研成果产业转化路径，切实提升学生工程创新能力，适配新时代工科交叉领域人才培养需要。</w:t>
      </w:r>
    </w:p>
    <w:p w14:paraId="2674562B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二、服务要求</w:t>
      </w:r>
    </w:p>
    <w:p w14:paraId="396E99DB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.定制化内容‌：结合我校学科特色，提供匹配的专业课程，课程内容需包含本土及行业相关案例。</w:t>
      </w:r>
    </w:p>
    <w:p w14:paraId="6AE03F79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.标准化评估‌：每模块设置KPI考核（如项目完成度、团队互评），结业颁发课程培训证书。</w:t>
      </w:r>
    </w:p>
    <w:p w14:paraId="57712497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.动态优化‌：根据学生反馈及时更新课程内容。</w:t>
      </w:r>
    </w:p>
    <w:p w14:paraId="3B19717F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.全程督导‌：</w:t>
      </w: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eastAsia="zh-CN"/>
        </w:rPr>
        <w:t>独立成班，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配备课程助教，为学生学习进度跟踪与个性化辅导。</w:t>
      </w:r>
    </w:p>
    <w:p w14:paraId="64542A5D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.成交单位必须开具正式票据</w:t>
      </w:r>
    </w:p>
    <w:p w14:paraId="07AF2E96">
      <w:pPr>
        <w:pStyle w:val="2"/>
        <w:ind w:firstLine="468" w:firstLineChars="195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6.项目服务期：2026年12月16日起至2026年12月20日</w:t>
      </w:r>
    </w:p>
    <w:p w14:paraId="74843E50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eastAsia="zh-CN"/>
        </w:rPr>
        <w:t>三、项目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费用</w:t>
      </w:r>
    </w:p>
    <w:p w14:paraId="7EB8958F">
      <w:pPr>
        <w:spacing w:line="30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eastAsia="zh-CN"/>
        </w:rPr>
        <w:t>报价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包括：住宿（</w:t>
      </w: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天</w:t>
      </w: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 xml:space="preserve">晚）、教学活动、管理、证书、接送机及在外期间部分交通费用。 </w:t>
      </w:r>
    </w:p>
    <w:p w14:paraId="1CCDFEE9">
      <w:pPr>
        <w:spacing w:line="300" w:lineRule="auto"/>
        <w:ind w:firstLine="480" w:firstLineChars="200"/>
        <w:rPr>
          <w:rFonts w:hint="default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四、技术要求</w:t>
      </w:r>
    </w:p>
    <w:tbl>
      <w:tblPr>
        <w:tblStyle w:val="6"/>
        <w:tblW w:w="8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1638"/>
        <w:gridCol w:w="5794"/>
      </w:tblGrid>
      <w:tr w14:paraId="42634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814" w:type="dxa"/>
            <w:vAlign w:val="center"/>
          </w:tcPr>
          <w:p w14:paraId="06662AA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638" w:type="dxa"/>
            <w:vAlign w:val="center"/>
          </w:tcPr>
          <w:p w14:paraId="0D9DC21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5794" w:type="dxa"/>
            <w:vAlign w:val="center"/>
          </w:tcPr>
          <w:p w14:paraId="5302E1A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highlight w:val="none"/>
              </w:rPr>
              <w:t>技术要求</w:t>
            </w:r>
          </w:p>
        </w:tc>
      </w:tr>
      <w:tr w14:paraId="27CF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4" w:type="dxa"/>
            <w:vAlign w:val="center"/>
          </w:tcPr>
          <w:p w14:paraId="5500B46D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638" w:type="dxa"/>
            <w:vAlign w:val="center"/>
          </w:tcPr>
          <w:p w14:paraId="72A832F9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  <w:t>项目课程安排要求</w:t>
            </w:r>
          </w:p>
        </w:tc>
        <w:tc>
          <w:tcPr>
            <w:tcW w:w="5794" w:type="dxa"/>
            <w:vAlign w:val="center"/>
          </w:tcPr>
          <w:p w14:paraId="09D86DA7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312" w:lineRule="atLeast"/>
              <w:ind w:left="0" w:right="0"/>
              <w:jc w:val="left"/>
              <w:textAlignment w:val="baseline"/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课程总学时不少于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  <w:lang w:val="en-US" w:eastAsia="zh-CN"/>
              </w:rPr>
              <w:t>18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学时，其中包括课堂学习和实地考察；课程内容紧扣项目主题；可采用中英文双语授课，英文授课占比不低于60%。</w:t>
            </w:r>
          </w:p>
        </w:tc>
      </w:tr>
      <w:tr w14:paraId="1D78C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4" w:type="dxa"/>
            <w:vAlign w:val="center"/>
          </w:tcPr>
          <w:p w14:paraId="43DDFD84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638" w:type="dxa"/>
            <w:vAlign w:val="center"/>
          </w:tcPr>
          <w:p w14:paraId="2A6DEBB6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  <w:t>实施经验、项目运营经验要求</w:t>
            </w:r>
          </w:p>
        </w:tc>
        <w:tc>
          <w:tcPr>
            <w:tcW w:w="5794" w:type="dxa"/>
            <w:vAlign w:val="center"/>
          </w:tcPr>
          <w:p w14:paraId="75B4F8CD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312" w:lineRule="atLeast"/>
              <w:ind w:left="0" w:right="0"/>
              <w:jc w:val="left"/>
              <w:textAlignment w:val="baseline"/>
              <w:rPr>
                <w:rFonts w:hint="eastAsia" w:ascii="仿宋_GB2312" w:eastAsia="仿宋_GB2312"/>
                <w:color w:val="auto"/>
                <w:szCs w:val="21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供应商提供类似本项目的服务与国内高校合作的典型案例，所提供的案例能够反映出项目实际落实情况，案例内容需包括项目筹备期，实施期，结项期全流程内容。</w:t>
            </w:r>
          </w:p>
        </w:tc>
      </w:tr>
      <w:tr w14:paraId="596AA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4" w:type="dxa"/>
            <w:vAlign w:val="center"/>
          </w:tcPr>
          <w:p w14:paraId="18B913E5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1638" w:type="dxa"/>
            <w:vAlign w:val="center"/>
          </w:tcPr>
          <w:p w14:paraId="7D6A9078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  <w:t>实施团队成员要求</w:t>
            </w:r>
          </w:p>
        </w:tc>
        <w:tc>
          <w:tcPr>
            <w:tcW w:w="5794" w:type="dxa"/>
            <w:vAlign w:val="center"/>
          </w:tcPr>
          <w:p w14:paraId="2E553F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供应商需设立项目实施专项团队与采购方对接，负责项目全流程服务工作，团队成员不少于4人，需满足采购方在项目实施过程中培训服务，技术响应，应急处理，监督反馈等方面支持工作，在响应文件中需提供团队成员项目分工明细表，基本信息（姓名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性别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  <w:lang w:eastAsia="zh-CN"/>
              </w:rPr>
              <w:t>、职称</w:t>
            </w:r>
            <w:r>
              <w:rPr>
                <w:rFonts w:hint="eastAsia" w:ascii="仿宋_GB2312" w:eastAsia="仿宋_GB2312"/>
                <w:color w:val="auto"/>
                <w:szCs w:val="21"/>
                <w:highlight w:val="none"/>
              </w:rPr>
              <w:t>）。</w:t>
            </w:r>
          </w:p>
        </w:tc>
      </w:tr>
      <w:tr w14:paraId="4C606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4" w:type="dxa"/>
            <w:vAlign w:val="center"/>
          </w:tcPr>
          <w:p w14:paraId="23C1394A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1638" w:type="dxa"/>
            <w:vAlign w:val="center"/>
          </w:tcPr>
          <w:p w14:paraId="04C75A0D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  <w:t>项目师资配置</w:t>
            </w:r>
          </w:p>
        </w:tc>
        <w:tc>
          <w:tcPr>
            <w:tcW w:w="5794" w:type="dxa"/>
            <w:vAlign w:val="center"/>
          </w:tcPr>
          <w:p w14:paraId="5AF5BDB7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312" w:lineRule="atLeast"/>
              <w:ind w:left="0" w:right="0"/>
              <w:jc w:val="left"/>
              <w:textAlignment w:val="baseline"/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  <w:t>国际化师资‌：授课教授均为境外大学正式聘用的教授或企业高管。‌除授课主讲教授外，为保障课程实施质量，供应商需为</w:t>
            </w:r>
            <w:r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  <w:lang w:eastAsia="zh-CN"/>
              </w:rPr>
              <w:t>每个课程班级</w:t>
            </w:r>
            <w:r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  <w:t>配1名助教，助教主要负责课程组织与日常教学管理工作</w:t>
            </w:r>
            <w:r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  <w:lang w:eastAsia="zh-CN"/>
              </w:rPr>
              <w:t>。需提供授课教师简历。</w:t>
            </w:r>
          </w:p>
        </w:tc>
      </w:tr>
      <w:tr w14:paraId="23245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4" w:type="dxa"/>
            <w:vAlign w:val="center"/>
          </w:tcPr>
          <w:p w14:paraId="2CEC75AA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638" w:type="dxa"/>
            <w:vAlign w:val="center"/>
          </w:tcPr>
          <w:p w14:paraId="41C037BC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480" w:lineRule="exact"/>
              <w:ind w:left="0" w:right="0"/>
              <w:jc w:val="center"/>
              <w:textAlignment w:val="baseline"/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Cs w:val="21"/>
                <w:highlight w:val="none"/>
              </w:rPr>
              <w:t>验收</w:t>
            </w:r>
          </w:p>
        </w:tc>
        <w:tc>
          <w:tcPr>
            <w:tcW w:w="5794" w:type="dxa"/>
            <w:vAlign w:val="center"/>
          </w:tcPr>
          <w:p w14:paraId="10EA79E4">
            <w:pPr>
              <w:keepNext w:val="0"/>
              <w:keepLines w:val="0"/>
              <w:suppressLineNumbers w:val="0"/>
              <w:adjustRightInd w:val="0"/>
              <w:spacing w:before="0" w:beforeAutospacing="0" w:after="0" w:afterAutospacing="0" w:line="312" w:lineRule="atLeast"/>
              <w:ind w:left="0" w:right="0"/>
              <w:jc w:val="left"/>
              <w:textAlignment w:val="baseline"/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szCs w:val="21"/>
                <w:highlight w:val="none"/>
              </w:rPr>
              <w:t>服务期满15天后，由成交供应商提出验收申请，项目单位同意后，按照采购人验收的权限，相关部门及人员形成验收小组，验收小组根据采购文件、响应文件、合同等项目文件约定内容对项目进行综合运行验收。</w:t>
            </w:r>
          </w:p>
        </w:tc>
      </w:tr>
    </w:tbl>
    <w:p w14:paraId="6F83EDE0">
      <w:pPr>
        <w:spacing w:line="576" w:lineRule="exact"/>
        <w:ind w:firstLine="562" w:firstLineChars="200"/>
        <w:rPr>
          <w:rFonts w:hint="eastAsia" w:eastAsia="仿宋_GB2312"/>
          <w:b/>
          <w:bCs/>
          <w:color w:val="auto"/>
          <w:sz w:val="28"/>
          <w:szCs w:val="28"/>
          <w:highlight w:val="none"/>
        </w:rPr>
      </w:pPr>
    </w:p>
    <w:p w14:paraId="1A5B6798">
      <w:pPr>
        <w:rPr>
          <w:rFonts w:hint="default" w:ascii="Times New Roman" w:hAnsi="Times New Roman" w:cs="Times New Roman"/>
          <w:color w:val="auto"/>
          <w:highlight w:val="none"/>
        </w:rPr>
      </w:pPr>
    </w:p>
    <w:p w14:paraId="6336B943">
      <w:pPr>
        <w:pStyle w:val="2"/>
        <w:rPr>
          <w:rFonts w:hint="default" w:ascii="Times New Roman" w:hAnsi="Times New Roman" w:cs="Times New Roman"/>
          <w:color w:val="auto"/>
          <w:highlight w:val="none"/>
        </w:rPr>
      </w:pPr>
    </w:p>
    <w:p w14:paraId="6DFBF852">
      <w:pPr>
        <w:rPr>
          <w:rFonts w:hint="default" w:ascii="Times New Roman" w:hAnsi="Times New Roman" w:cs="Times New Roman"/>
          <w:color w:val="auto"/>
          <w:highlight w:val="none"/>
        </w:rPr>
      </w:pPr>
    </w:p>
    <w:p w14:paraId="2A221640">
      <w:pPr>
        <w:pStyle w:val="2"/>
        <w:rPr>
          <w:rFonts w:hint="default" w:ascii="Times New Roman" w:hAnsi="Times New Roman" w:cs="Times New Roman"/>
          <w:color w:val="auto"/>
          <w:highlight w:val="none"/>
        </w:rPr>
      </w:pPr>
    </w:p>
    <w:p w14:paraId="0A2D3A1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ED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5"/>
    <w:qFormat/>
    <w:uiPriority w:val="0"/>
    <w:pPr>
      <w:keepNext/>
      <w:keepLines/>
      <w:spacing w:before="260" w:after="260" w:line="416" w:lineRule="auto"/>
      <w:outlineLvl w:val="2"/>
    </w:pPr>
    <w:rPr>
      <w:b/>
      <w:sz w:val="32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line="360" w:lineRule="auto"/>
      <w:ind w:firstLine="200"/>
    </w:pPr>
    <w:rPr>
      <w:rFonts w:ascii="仿宋_GB2312" w:eastAsia="仿宋_GB2312"/>
      <w:sz w:val="30"/>
      <w:szCs w:val="30"/>
    </w:rPr>
  </w:style>
  <w:style w:type="paragraph" w:styleId="3">
    <w:name w:val="Body Text"/>
    <w:basedOn w:val="1"/>
    <w:next w:val="1"/>
    <w:qFormat/>
    <w:uiPriority w:val="0"/>
    <w:rPr>
      <w:rFonts w:ascii="楷体_GB2312" w:hAnsi="Arial" w:eastAsia="楷体_GB2312"/>
      <w:sz w:val="28"/>
      <w:szCs w:val="20"/>
    </w:rPr>
  </w:style>
  <w:style w:type="paragraph" w:styleId="5">
    <w:name w:val="Normal Indent"/>
    <w:basedOn w:val="1"/>
    <w:qFormat/>
    <w:uiPriority w:val="0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2026-11-04T10:08:34Z</dcterms:created>
  <dc:creator>LYX</dc:creator>
  <cp:lastModifiedBy>一秀</cp:lastModifiedBy>
  <dcterms:modified xsi:type="dcterms:W3CDTF">2026-11-04T10:09:01Z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eyJoZGlkIjoiNWM3ZTlmNDJlNDA0ZjExYzBmYjlhYjZkMjg5OTgyNTciLCJ1c2VySWQiOiIxMTAwMDQwOTMzIn0=</vt:lpwstr>
  </property>
  <property fmtid="{D5CDD505-2E9C-101B-9397-08002B2CF9AE}" pid="4" name="ICV">
    <vt:lpwstr>CE95F518940741CDB8EC92F56AC87D3D_12</vt:lpwstr>
  </property>
</Properties>
</file>