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824BB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方正小标宋简体" w:hAnsi="方正小标宋简体" w:eastAsia="方正小标宋简体" w:cs="方正小标宋简体"/>
          <w:b w:val="0"/>
          <w:bCs w:val="0"/>
          <w:i w:val="0"/>
          <w:iCs w:val="0"/>
          <w:color w:val="auto"/>
          <w:sz w:val="36"/>
          <w:szCs w:val="36"/>
          <w:highlight w:val="none"/>
          <w:u w:val="none"/>
          <w:lang w:eastAsia="zh-CN"/>
        </w:rPr>
      </w:pPr>
      <w:r>
        <w:rPr>
          <w:rFonts w:hint="eastAsia" w:ascii="方正小标宋简体" w:hAnsi="方正小标宋简体" w:eastAsia="方正小标宋简体" w:cs="方正小标宋简体"/>
          <w:b w:val="0"/>
          <w:bCs w:val="0"/>
          <w:i w:val="0"/>
          <w:iCs w:val="0"/>
          <w:color w:val="auto"/>
          <w:sz w:val="36"/>
          <w:szCs w:val="36"/>
          <w:highlight w:val="none"/>
          <w:u w:val="none"/>
          <w:lang w:eastAsia="zh-CN"/>
        </w:rPr>
        <w:t>江苏海洋大学2026-2029年度保安服务项目采购需求</w:t>
      </w:r>
    </w:p>
    <w:p w14:paraId="56A4F5F6">
      <w:pPr>
        <w:spacing w:line="360" w:lineRule="auto"/>
        <w:ind w:firstLine="480"/>
        <w:jc w:val="left"/>
        <w:rPr>
          <w:rFonts w:hint="eastAsia" w:eastAsia="宋体"/>
          <w:b w:val="0"/>
          <w:bCs w:val="0"/>
          <w:i w:val="0"/>
          <w:iCs w:val="0"/>
          <w:color w:val="auto"/>
          <w:sz w:val="24"/>
          <w:szCs w:val="24"/>
          <w:highlight w:val="none"/>
          <w:u w:val="none"/>
          <w:lang w:val="en-US" w:eastAsia="zh-CN"/>
        </w:rPr>
      </w:pPr>
    </w:p>
    <w:p w14:paraId="34C581F6">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eastAsia="宋体"/>
          <w:b w:val="0"/>
          <w:bCs w:val="0"/>
          <w:i w:val="0"/>
          <w:iCs w:val="0"/>
          <w:color w:val="auto"/>
          <w:sz w:val="24"/>
          <w:szCs w:val="24"/>
          <w:highlight w:val="none"/>
          <w:u w:val="none"/>
          <w:lang w:val="en-US" w:eastAsia="zh-CN"/>
        </w:rPr>
      </w:pPr>
      <w:r>
        <w:rPr>
          <w:rFonts w:hint="eastAsia" w:eastAsia="宋体"/>
          <w:b w:val="0"/>
          <w:bCs w:val="0"/>
          <w:i w:val="0"/>
          <w:iCs w:val="0"/>
          <w:color w:val="auto"/>
          <w:sz w:val="24"/>
          <w:szCs w:val="24"/>
          <w:highlight w:val="none"/>
          <w:u w:val="none"/>
          <w:lang w:val="en-US" w:eastAsia="zh-CN"/>
        </w:rPr>
        <w:t>一、项目基本情况</w:t>
      </w:r>
    </w:p>
    <w:p w14:paraId="72A6EC5D">
      <w:pPr>
        <w:spacing w:line="440" w:lineRule="exact"/>
        <w:ind w:firstLine="482"/>
        <w:jc w:val="left"/>
        <w:rPr>
          <w:rFonts w:hint="eastAsia"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项目名称：江苏海洋大学2026-2029年度保安服务项目</w:t>
      </w:r>
    </w:p>
    <w:p w14:paraId="2F144AE6">
      <w:pPr>
        <w:spacing w:line="440" w:lineRule="exact"/>
        <w:ind w:firstLine="482"/>
        <w:jc w:val="left"/>
        <w:rPr>
          <w:rFonts w:hint="eastAsia"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采购方式：公开招标</w:t>
      </w:r>
    </w:p>
    <w:p w14:paraId="4C1FAD46">
      <w:pPr>
        <w:spacing w:line="440" w:lineRule="exact"/>
        <w:ind w:firstLine="482"/>
        <w:jc w:val="left"/>
        <w:rPr>
          <w:rFonts w:hint="eastAsia"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预算金额：1144万元</w:t>
      </w:r>
      <w:r>
        <w:rPr>
          <w:rFonts w:hint="eastAsia" w:ascii="Times New Roman" w:hAnsi="Times New Roman" w:eastAsia="宋体"/>
          <w:i w:val="0"/>
          <w:iCs w:val="0"/>
          <w:color w:val="auto"/>
          <w:sz w:val="24"/>
          <w:szCs w:val="24"/>
          <w:highlight w:val="none"/>
          <w:u w:val="none"/>
          <w:lang w:eastAsia="zh-CN"/>
        </w:rPr>
        <w:t>。</w:t>
      </w:r>
      <w:r>
        <w:rPr>
          <w:rFonts w:hint="eastAsia" w:ascii="Times New Roman" w:hAnsi="Times New Roman"/>
          <w:i w:val="0"/>
          <w:iCs w:val="0"/>
          <w:color w:val="auto"/>
          <w:sz w:val="24"/>
          <w:szCs w:val="24"/>
          <w:highlight w:val="none"/>
          <w:u w:val="none"/>
        </w:rPr>
        <w:t>本项目划分为2个采购包：</w:t>
      </w:r>
    </w:p>
    <w:p w14:paraId="21CB53B5">
      <w:pPr>
        <w:spacing w:line="440" w:lineRule="exact"/>
        <w:ind w:firstLine="482"/>
        <w:jc w:val="left"/>
        <w:rPr>
          <w:rFonts w:hint="eastAsia"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采购包1</w:t>
      </w:r>
      <w:r>
        <w:rPr>
          <w:rFonts w:hint="eastAsia" w:ascii="Times New Roman" w:hAnsi="Times New Roman" w:eastAsia="宋体"/>
          <w:i w:val="0"/>
          <w:iCs w:val="0"/>
          <w:color w:val="auto"/>
          <w:sz w:val="24"/>
          <w:szCs w:val="24"/>
          <w:highlight w:val="none"/>
          <w:u w:val="none"/>
          <w:lang w:val="en-US" w:eastAsia="zh-CN"/>
        </w:rPr>
        <w:t xml:space="preserve"> </w:t>
      </w:r>
      <w:r>
        <w:rPr>
          <w:rFonts w:hint="eastAsia" w:ascii="Times New Roman" w:hAnsi="Times New Roman"/>
          <w:i w:val="0"/>
          <w:iCs w:val="0"/>
          <w:color w:val="auto"/>
          <w:sz w:val="24"/>
          <w:szCs w:val="24"/>
          <w:highlight w:val="none"/>
          <w:u w:val="none"/>
        </w:rPr>
        <w:t>江苏海洋大学2026-2029年度保安服务项目（苍梧校区）：747万元；</w:t>
      </w:r>
    </w:p>
    <w:p w14:paraId="546B1F0E">
      <w:pPr>
        <w:spacing w:line="440" w:lineRule="exact"/>
        <w:ind w:firstLine="482"/>
        <w:jc w:val="left"/>
        <w:rPr>
          <w:rFonts w:hint="eastAsia" w:ascii="Times New Roman" w:hAnsi="Times New Roman" w:eastAsia="宋体"/>
          <w:i w:val="0"/>
          <w:iCs w:val="0"/>
          <w:color w:val="auto"/>
          <w:sz w:val="24"/>
          <w:szCs w:val="24"/>
          <w:highlight w:val="none"/>
          <w:u w:val="none"/>
          <w:lang w:eastAsia="zh-CN"/>
        </w:rPr>
      </w:pPr>
      <w:r>
        <w:rPr>
          <w:rFonts w:hint="eastAsia" w:ascii="Times New Roman" w:hAnsi="Times New Roman"/>
          <w:i w:val="0"/>
          <w:iCs w:val="0"/>
          <w:color w:val="auto"/>
          <w:sz w:val="24"/>
          <w:szCs w:val="24"/>
          <w:highlight w:val="none"/>
          <w:u w:val="none"/>
        </w:rPr>
        <w:t>采购包2</w:t>
      </w:r>
      <w:r>
        <w:rPr>
          <w:rFonts w:hint="eastAsia" w:ascii="Times New Roman" w:hAnsi="Times New Roman" w:eastAsia="宋体"/>
          <w:i w:val="0"/>
          <w:iCs w:val="0"/>
          <w:color w:val="auto"/>
          <w:sz w:val="24"/>
          <w:szCs w:val="24"/>
          <w:highlight w:val="none"/>
          <w:u w:val="none"/>
          <w:lang w:val="en-US" w:eastAsia="zh-CN"/>
        </w:rPr>
        <w:t xml:space="preserve"> </w:t>
      </w:r>
      <w:r>
        <w:rPr>
          <w:rFonts w:hint="eastAsia" w:ascii="Times New Roman" w:hAnsi="Times New Roman"/>
          <w:i w:val="0"/>
          <w:iCs w:val="0"/>
          <w:color w:val="auto"/>
          <w:sz w:val="24"/>
          <w:szCs w:val="24"/>
          <w:highlight w:val="none"/>
          <w:u w:val="none"/>
        </w:rPr>
        <w:t>江苏海洋大学2026-2029年度保安服务项目（通灌校区、宋跳校区）：397万元</w:t>
      </w:r>
      <w:r>
        <w:rPr>
          <w:rFonts w:hint="eastAsia" w:ascii="Times New Roman" w:hAnsi="Times New Roman" w:eastAsia="宋体"/>
          <w:i w:val="0"/>
          <w:iCs w:val="0"/>
          <w:color w:val="auto"/>
          <w:sz w:val="24"/>
          <w:szCs w:val="24"/>
          <w:highlight w:val="none"/>
          <w:u w:val="none"/>
          <w:lang w:eastAsia="zh-CN"/>
        </w:rPr>
        <w:t>。</w:t>
      </w:r>
    </w:p>
    <w:p w14:paraId="039B06B8">
      <w:pPr>
        <w:spacing w:line="440" w:lineRule="exact"/>
        <w:ind w:firstLine="482"/>
        <w:jc w:val="left"/>
        <w:rPr>
          <w:rFonts w:hint="eastAsia" w:ascii="Times New Roman" w:hAnsi="Times New Roman" w:eastAsia="宋体"/>
          <w:b/>
          <w:i w:val="0"/>
          <w:iCs w:val="0"/>
          <w:color w:val="auto"/>
          <w:sz w:val="24"/>
          <w:szCs w:val="24"/>
          <w:highlight w:val="none"/>
          <w:u w:val="none"/>
          <w:lang w:eastAsia="zh-CN"/>
        </w:rPr>
      </w:pPr>
      <w:r>
        <w:rPr>
          <w:rFonts w:ascii="Times New Roman" w:hAnsi="Times New Roman"/>
          <w:i w:val="0"/>
          <w:iCs w:val="0"/>
          <w:color w:val="auto"/>
          <w:sz w:val="24"/>
          <w:szCs w:val="24"/>
          <w:highlight w:val="none"/>
          <w:u w:val="none"/>
        </w:rPr>
        <w:t>采购需求：</w:t>
      </w:r>
      <w:r>
        <w:rPr>
          <w:rFonts w:hint="eastAsia"/>
          <w:i w:val="0"/>
          <w:iCs w:val="0"/>
          <w:color w:val="auto"/>
          <w:sz w:val="24"/>
          <w:highlight w:val="none"/>
          <w:u w:val="none"/>
        </w:rPr>
        <w:t>江苏海洋大学2026-2029年度保安服务</w:t>
      </w:r>
      <w:r>
        <w:rPr>
          <w:rFonts w:hint="eastAsia" w:eastAsia="宋体"/>
          <w:i w:val="0"/>
          <w:iCs w:val="0"/>
          <w:color w:val="auto"/>
          <w:sz w:val="24"/>
          <w:highlight w:val="none"/>
          <w:u w:val="none"/>
          <w:lang w:eastAsia="zh-CN"/>
        </w:rPr>
        <w:t>。</w:t>
      </w:r>
    </w:p>
    <w:p w14:paraId="68E744E7">
      <w:pPr>
        <w:spacing w:line="440" w:lineRule="exact"/>
        <w:ind w:firstLine="480"/>
        <w:jc w:val="left"/>
        <w:rPr>
          <w:rFonts w:ascii="Times New Roman" w:hAnsi="Times New Roman"/>
          <w:i w:val="0"/>
          <w:iCs w:val="0"/>
          <w:color w:val="auto"/>
          <w:sz w:val="24"/>
          <w:szCs w:val="24"/>
          <w:highlight w:val="none"/>
          <w:u w:val="none"/>
        </w:rPr>
      </w:pPr>
      <w:r>
        <w:rPr>
          <w:rFonts w:ascii="Times New Roman" w:hAnsi="Times New Roman"/>
          <w:i w:val="0"/>
          <w:iCs w:val="0"/>
          <w:color w:val="auto"/>
          <w:sz w:val="24"/>
          <w:szCs w:val="24"/>
          <w:highlight w:val="none"/>
          <w:u w:val="none"/>
        </w:rPr>
        <w:t>合同履行期限：</w:t>
      </w:r>
      <w:r>
        <w:rPr>
          <w:rFonts w:hint="eastAsia" w:ascii="Times New Roman" w:hAnsi="Times New Roman"/>
          <w:i w:val="0"/>
          <w:iCs w:val="0"/>
          <w:color w:val="auto"/>
          <w:sz w:val="24"/>
          <w:highlight w:val="none"/>
          <w:u w:val="none"/>
        </w:rPr>
        <w:t>合同履行期限：服务期三年，自2026年8月1日起至2029年7月31日止。</w:t>
      </w:r>
    </w:p>
    <w:p w14:paraId="261C1C5E">
      <w:pPr>
        <w:spacing w:line="440" w:lineRule="exact"/>
        <w:ind w:firstLine="480"/>
        <w:jc w:val="left"/>
        <w:rPr>
          <w:rFonts w:ascii="Times New Roman" w:hAnsi="Times New Roman"/>
          <w:i w:val="0"/>
          <w:iCs w:val="0"/>
          <w:color w:val="auto"/>
          <w:sz w:val="24"/>
          <w:szCs w:val="24"/>
          <w:highlight w:val="none"/>
          <w:u w:val="none"/>
        </w:rPr>
      </w:pPr>
      <w:r>
        <w:rPr>
          <w:rFonts w:ascii="Times New Roman" w:hAnsi="Times New Roman"/>
          <w:i w:val="0"/>
          <w:iCs w:val="0"/>
          <w:color w:val="auto"/>
          <w:sz w:val="24"/>
          <w:szCs w:val="24"/>
          <w:highlight w:val="none"/>
          <w:u w:val="none"/>
        </w:rPr>
        <w:t>本项目（是/否）接受联合体投标：不接受联合体。</w:t>
      </w:r>
    </w:p>
    <w:p w14:paraId="441D7CB2">
      <w:pPr>
        <w:pStyle w:val="2"/>
        <w:rPr>
          <w:rFonts w:hint="default" w:eastAsia="新宋体"/>
          <w:i w:val="0"/>
          <w:iCs w:val="0"/>
          <w:color w:val="auto"/>
          <w:highlight w:val="none"/>
          <w:u w:val="none"/>
          <w:lang w:val="en-US" w:eastAsia="zh-CN"/>
        </w:rPr>
      </w:pPr>
    </w:p>
    <w:p w14:paraId="155D3779">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eastAsia="宋体"/>
          <w:b w:val="0"/>
          <w:bCs w:val="0"/>
          <w:i w:val="0"/>
          <w:iCs w:val="0"/>
          <w:color w:val="auto"/>
          <w:sz w:val="24"/>
          <w:szCs w:val="24"/>
          <w:highlight w:val="none"/>
          <w:u w:val="none"/>
          <w:lang w:val="en-US" w:eastAsia="zh-CN"/>
        </w:rPr>
      </w:pPr>
      <w:r>
        <w:rPr>
          <w:rFonts w:hint="eastAsia" w:ascii="Times New Roman" w:hAnsi="Times New Roman" w:eastAsia="新宋体"/>
          <w:b/>
          <w:bCs/>
          <w:i w:val="0"/>
          <w:iCs w:val="0"/>
          <w:color w:val="auto"/>
          <w:sz w:val="24"/>
          <w:szCs w:val="24"/>
          <w:highlight w:val="none"/>
          <w:u w:val="none"/>
          <w:lang w:val="en-US" w:eastAsia="zh-CN"/>
        </w:rPr>
        <w:t>二、</w:t>
      </w:r>
      <w:r>
        <w:rPr>
          <w:rFonts w:hint="eastAsia" w:eastAsia="宋体"/>
          <w:b w:val="0"/>
          <w:bCs w:val="0"/>
          <w:i w:val="0"/>
          <w:iCs w:val="0"/>
          <w:color w:val="auto"/>
          <w:sz w:val="24"/>
          <w:szCs w:val="24"/>
          <w:highlight w:val="none"/>
          <w:u w:val="none"/>
          <w:lang w:val="en-US" w:eastAsia="zh-CN"/>
        </w:rPr>
        <w:t>本项目的特定资格要求：</w:t>
      </w:r>
    </w:p>
    <w:p w14:paraId="27D3CE46">
      <w:pPr>
        <w:spacing w:line="360" w:lineRule="auto"/>
        <w:ind w:firstLine="480"/>
        <w:jc w:val="left"/>
        <w:rPr>
          <w:rFonts w:ascii="Times New Roman"/>
          <w:i w:val="0"/>
          <w:iCs w:val="0"/>
          <w:color w:val="auto"/>
          <w:sz w:val="24"/>
          <w:szCs w:val="24"/>
          <w:highlight w:val="none"/>
          <w:u w:val="none"/>
        </w:rPr>
      </w:pPr>
      <w:r>
        <w:rPr>
          <w:rFonts w:hint="eastAsia" w:ascii="Times New Roman"/>
          <w:i w:val="0"/>
          <w:iCs w:val="0"/>
          <w:color w:val="auto"/>
          <w:sz w:val="24"/>
          <w:szCs w:val="24"/>
          <w:highlight w:val="none"/>
          <w:u w:val="none"/>
        </w:rPr>
        <w:t>1、资格审查现场查询信用中国，投标人被列入失信被执行人、税收违法黑名单、政府采购严重违法失信行为记录名单及具有其他不符合《中华人民共和国政府采购法》第二十二条规定情形的，拒绝其参与政府采购活动。（投标文件中无需提供证明材料）</w:t>
      </w:r>
    </w:p>
    <w:p w14:paraId="039D12C0">
      <w:pPr>
        <w:spacing w:line="360" w:lineRule="auto"/>
        <w:ind w:firstLine="480"/>
        <w:jc w:val="left"/>
        <w:rPr>
          <w:rFonts w:ascii="Times New Roman"/>
          <w:i w:val="0"/>
          <w:iCs w:val="0"/>
          <w:color w:val="auto"/>
          <w:sz w:val="24"/>
          <w:szCs w:val="24"/>
          <w:highlight w:val="none"/>
          <w:u w:val="none"/>
        </w:rPr>
      </w:pPr>
      <w:r>
        <w:rPr>
          <w:rFonts w:hint="eastAsia" w:ascii="Times New Roman"/>
          <w:i w:val="0"/>
          <w:iCs w:val="0"/>
          <w:color w:val="auto"/>
          <w:sz w:val="24"/>
          <w:szCs w:val="24"/>
          <w:highlight w:val="none"/>
          <w:u w:val="none"/>
        </w:rPr>
        <w:t>2、</w:t>
      </w:r>
      <w:r>
        <w:rPr>
          <w:rFonts w:ascii="Times New Roman"/>
          <w:i w:val="0"/>
          <w:iCs w:val="0"/>
          <w:color w:val="auto"/>
          <w:sz w:val="24"/>
          <w:szCs w:val="24"/>
          <w:highlight w:val="none"/>
          <w:u w:val="none"/>
        </w:rPr>
        <w:t>投标人具有公安机关部门颁发的《</w:t>
      </w:r>
      <w:bookmarkStart w:id="0" w:name="OLE_LINK6"/>
      <w:bookmarkStart w:id="1" w:name="OLE_LINK38"/>
      <w:bookmarkStart w:id="2" w:name="OLE_LINK5"/>
      <w:r>
        <w:rPr>
          <w:rFonts w:ascii="Times New Roman"/>
          <w:i w:val="0"/>
          <w:iCs w:val="0"/>
          <w:color w:val="auto"/>
          <w:sz w:val="24"/>
          <w:szCs w:val="24"/>
          <w:highlight w:val="none"/>
          <w:u w:val="none"/>
        </w:rPr>
        <w:t>保安服务许可证</w:t>
      </w:r>
      <w:bookmarkEnd w:id="0"/>
      <w:bookmarkEnd w:id="1"/>
      <w:bookmarkEnd w:id="2"/>
      <w:r>
        <w:rPr>
          <w:rFonts w:ascii="Times New Roman"/>
          <w:i w:val="0"/>
          <w:iCs w:val="0"/>
          <w:color w:val="auto"/>
          <w:sz w:val="24"/>
          <w:szCs w:val="24"/>
          <w:highlight w:val="none"/>
          <w:u w:val="none"/>
        </w:rPr>
        <w:t>》</w:t>
      </w:r>
      <w:r>
        <w:rPr>
          <w:rFonts w:hint="eastAsia" w:ascii="Times New Roman"/>
          <w:i w:val="0"/>
          <w:iCs w:val="0"/>
          <w:color w:val="auto"/>
          <w:sz w:val="24"/>
          <w:szCs w:val="24"/>
          <w:highlight w:val="none"/>
          <w:u w:val="none"/>
        </w:rPr>
        <w:t>（提供有效期内的证书扫描件并加盖投标人公章）</w:t>
      </w:r>
    </w:p>
    <w:p w14:paraId="3BE4EF85">
      <w:pPr>
        <w:spacing w:line="360" w:lineRule="auto"/>
        <w:ind w:firstLine="480"/>
        <w:jc w:val="left"/>
        <w:rPr>
          <w:rFonts w:ascii="Times New Roman" w:hAnsi="Times New Roman"/>
          <w:i w:val="0"/>
          <w:iCs w:val="0"/>
          <w:color w:val="auto"/>
          <w:sz w:val="24"/>
          <w:szCs w:val="24"/>
          <w:highlight w:val="none"/>
          <w:u w:val="none"/>
        </w:rPr>
      </w:pPr>
      <w:r>
        <w:rPr>
          <w:rFonts w:ascii="Times New Roman"/>
          <w:i w:val="0"/>
          <w:iCs w:val="0"/>
          <w:color w:val="auto"/>
          <w:sz w:val="24"/>
          <w:szCs w:val="24"/>
          <w:highlight w:val="none"/>
          <w:u w:val="none"/>
        </w:rPr>
        <w:t>3</w:t>
      </w:r>
      <w:r>
        <w:rPr>
          <w:rFonts w:hint="eastAsia" w:ascii="Times New Roman"/>
          <w:i w:val="0"/>
          <w:iCs w:val="0"/>
          <w:color w:val="auto"/>
          <w:sz w:val="24"/>
          <w:szCs w:val="24"/>
          <w:highlight w:val="none"/>
          <w:u w:val="none"/>
        </w:rPr>
        <w:t>、法律、行政法规规定的其他条件；</w:t>
      </w:r>
      <w:r>
        <w:rPr>
          <w:rFonts w:hint="eastAsia" w:ascii="Times New Roman" w:hAnsi="Times New Roman"/>
          <w:i w:val="0"/>
          <w:iCs w:val="0"/>
          <w:color w:val="auto"/>
          <w:sz w:val="24"/>
          <w:szCs w:val="24"/>
          <w:highlight w:val="none"/>
          <w:u w:val="none"/>
        </w:rPr>
        <w:t xml:space="preserve"> </w:t>
      </w:r>
    </w:p>
    <w:p w14:paraId="62F6094E">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i w:val="0"/>
          <w:iCs w:val="0"/>
          <w:color w:val="auto"/>
          <w:sz w:val="24"/>
          <w:szCs w:val="24"/>
          <w:highlight w:val="none"/>
          <w:u w:val="none"/>
        </w:rPr>
      </w:pPr>
      <w:r>
        <w:rPr>
          <w:rFonts w:hint="eastAsia" w:ascii="Times New Roman" w:hAnsi="Times New Roman" w:eastAsia="新宋体"/>
          <w:b w:val="0"/>
          <w:bCs w:val="0"/>
          <w:i w:val="0"/>
          <w:iCs w:val="0"/>
          <w:color w:val="auto"/>
          <w:sz w:val="24"/>
          <w:szCs w:val="24"/>
          <w:highlight w:val="none"/>
          <w:u w:val="none"/>
          <w:lang w:val="en-US" w:eastAsia="zh-CN"/>
        </w:rPr>
        <w:t>三、项目</w:t>
      </w:r>
      <w:r>
        <w:rPr>
          <w:rFonts w:hint="eastAsia" w:ascii="Times New Roman" w:hAnsi="Times New Roman" w:eastAsia="新宋体"/>
          <w:b w:val="0"/>
          <w:bCs w:val="0"/>
          <w:i w:val="0"/>
          <w:iCs w:val="0"/>
          <w:color w:val="auto"/>
          <w:sz w:val="24"/>
          <w:szCs w:val="24"/>
          <w:highlight w:val="none"/>
          <w:u w:val="none"/>
        </w:rPr>
        <w:t>采购需求</w:t>
      </w:r>
    </w:p>
    <w:p w14:paraId="3B1FB4B8">
      <w:pPr>
        <w:spacing w:line="360" w:lineRule="auto"/>
        <w:ind w:firstLine="482"/>
        <w:jc w:val="left"/>
        <w:rPr>
          <w:rFonts w:ascii="Times New Roman" w:hAnsi="Times New Roman"/>
          <w:i w:val="0"/>
          <w:iCs w:val="0"/>
          <w:color w:val="auto"/>
          <w:sz w:val="24"/>
          <w:szCs w:val="24"/>
          <w:highlight w:val="none"/>
          <w:u w:val="none"/>
        </w:rPr>
      </w:pPr>
      <w:r>
        <w:rPr>
          <w:rFonts w:ascii="Times New Roman" w:hAnsi="Times New Roman"/>
          <w:i w:val="0"/>
          <w:iCs w:val="0"/>
          <w:color w:val="auto"/>
          <w:sz w:val="24"/>
          <w:szCs w:val="24"/>
          <w:highlight w:val="none"/>
          <w:u w:val="none"/>
        </w:rPr>
        <w:t>说明：本项目属性为</w:t>
      </w:r>
      <w:r>
        <w:rPr>
          <w:rFonts w:ascii="Times New Roman" w:hAnsi="Times New Roman"/>
          <w:b/>
          <w:i w:val="0"/>
          <w:iCs w:val="0"/>
          <w:color w:val="auto"/>
          <w:sz w:val="24"/>
          <w:szCs w:val="24"/>
          <w:highlight w:val="none"/>
          <w:u w:val="none"/>
        </w:rPr>
        <w:t>服务</w:t>
      </w:r>
      <w:r>
        <w:rPr>
          <w:rFonts w:ascii="Times New Roman" w:hAnsi="Times New Roman"/>
          <w:i w:val="0"/>
          <w:iCs w:val="0"/>
          <w:color w:val="auto"/>
          <w:sz w:val="24"/>
          <w:szCs w:val="24"/>
          <w:highlight w:val="none"/>
          <w:u w:val="none"/>
        </w:rPr>
        <w:t>，采购标的对应的中小企业划分标准所属行业为：租赁和商务服务业。</w:t>
      </w:r>
    </w:p>
    <w:p w14:paraId="4A64D507">
      <w:pPr>
        <w:spacing w:line="360" w:lineRule="auto"/>
        <w:ind w:firstLine="482"/>
        <w:jc w:val="left"/>
        <w:rPr>
          <w:rFonts w:ascii="Times New Roman" w:hAnsi="Times New Roman"/>
          <w:i w:val="0"/>
          <w:iCs w:val="0"/>
          <w:color w:val="auto"/>
          <w:sz w:val="24"/>
          <w:szCs w:val="24"/>
          <w:highlight w:val="none"/>
          <w:u w:val="none"/>
        </w:rPr>
      </w:pPr>
      <w:r>
        <w:rPr>
          <w:rFonts w:ascii="Times New Roman" w:hAnsi="Times New Roman"/>
          <w:i w:val="0"/>
          <w:iCs w:val="0"/>
          <w:color w:val="auto"/>
          <w:sz w:val="24"/>
          <w:szCs w:val="24"/>
          <w:highlight w:val="none"/>
          <w:u w:val="none"/>
        </w:rPr>
        <w:t>根据《关于印发中小企业划型标准规定的通知》（工信部联企业〔2011〕300号）规定，（采购文件中明确的所属行业）行业划型标准：</w:t>
      </w:r>
    </w:p>
    <w:p w14:paraId="194D53BF">
      <w:pPr>
        <w:spacing w:line="360" w:lineRule="auto"/>
        <w:ind w:firstLine="482"/>
        <w:jc w:val="left"/>
        <w:rPr>
          <w:rFonts w:ascii="Times New Roman" w:hAnsi="Times New Roman"/>
          <w:i w:val="0"/>
          <w:iCs w:val="0"/>
          <w:color w:val="auto"/>
          <w:sz w:val="24"/>
          <w:szCs w:val="24"/>
          <w:highlight w:val="none"/>
          <w:u w:val="none"/>
        </w:rPr>
      </w:pPr>
      <w:r>
        <w:rPr>
          <w:rFonts w:ascii="Times New Roman" w:hAnsi="Times New Roman"/>
          <w:i w:val="0"/>
          <w:iCs w:val="0"/>
          <w:color w:val="auto"/>
          <w:sz w:val="24"/>
          <w:szCs w:val="24"/>
          <w:highlight w:val="none"/>
          <w:u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69296EF">
      <w:pPr>
        <w:spacing w:line="360" w:lineRule="auto"/>
        <w:ind w:firstLine="482"/>
        <w:jc w:val="left"/>
        <w:rPr>
          <w:rFonts w:ascii="Times New Roman" w:hAnsi="Times New Roman"/>
          <w:i w:val="0"/>
          <w:iCs w:val="0"/>
          <w:color w:val="auto"/>
          <w:sz w:val="24"/>
          <w:szCs w:val="24"/>
          <w:highlight w:val="none"/>
          <w:u w:val="none"/>
        </w:rPr>
      </w:pPr>
      <w:r>
        <w:rPr>
          <w:rFonts w:ascii="Times New Roman" w:hAnsi="Times New Roman"/>
          <w:i w:val="0"/>
          <w:iCs w:val="0"/>
          <w:color w:val="auto"/>
          <w:sz w:val="24"/>
          <w:szCs w:val="24"/>
          <w:highlight w:val="none"/>
          <w:u w:val="none"/>
        </w:rPr>
        <w:t>1、根据《政府采购需求管理办法》等有关规定，采购人确定采购需求。</w:t>
      </w:r>
    </w:p>
    <w:p w14:paraId="00B532C8">
      <w:pPr>
        <w:spacing w:line="360" w:lineRule="auto"/>
        <w:ind w:firstLine="482"/>
        <w:jc w:val="left"/>
        <w:rPr>
          <w:rFonts w:ascii="Times New Roman" w:hAnsi="Times New Roman"/>
          <w:i w:val="0"/>
          <w:iCs w:val="0"/>
          <w:color w:val="auto"/>
          <w:sz w:val="24"/>
          <w:szCs w:val="24"/>
          <w:highlight w:val="none"/>
          <w:u w:val="none"/>
        </w:rPr>
      </w:pPr>
      <w:r>
        <w:rPr>
          <w:rFonts w:ascii="Times New Roman" w:hAnsi="Times New Roman"/>
          <w:i w:val="0"/>
          <w:iCs w:val="0"/>
          <w:color w:val="auto"/>
          <w:sz w:val="24"/>
          <w:szCs w:val="24"/>
          <w:highlight w:val="none"/>
          <w:u w:val="none"/>
        </w:rPr>
        <w:t>2、</w:t>
      </w:r>
      <w:r>
        <w:rPr>
          <w:rFonts w:ascii="Times New Roman" w:hAnsi="Times New Roman"/>
          <w:b/>
          <w:i w:val="0"/>
          <w:iCs w:val="0"/>
          <w:color w:val="auto"/>
          <w:sz w:val="24"/>
          <w:szCs w:val="24"/>
          <w:highlight w:val="none"/>
          <w:u w:val="none"/>
        </w:rPr>
        <w:t>本招标文件中斜体且有下划线部分为实质性要求和条件</w:t>
      </w:r>
      <w:r>
        <w:rPr>
          <w:rFonts w:ascii="Times New Roman" w:hAnsi="Times New Roman"/>
          <w:i w:val="0"/>
          <w:iCs w:val="0"/>
          <w:color w:val="auto"/>
          <w:sz w:val="24"/>
          <w:szCs w:val="24"/>
          <w:highlight w:val="none"/>
          <w:u w:val="none"/>
        </w:rPr>
        <w:t>，由采购人根据实际情况设置，投标人须逐条明确作出满足实质性要求和条件的响应，否则将按无效响应处理。</w:t>
      </w:r>
    </w:p>
    <w:p w14:paraId="4269E1F9">
      <w:pPr>
        <w:spacing w:line="360" w:lineRule="auto"/>
        <w:ind w:firstLine="482"/>
        <w:jc w:val="left"/>
        <w:rPr>
          <w:rFonts w:hint="eastAsia" w:ascii="方正黑体_GBK" w:hAnsi="方正黑体_GBK" w:eastAsia="方正黑体_GBK" w:cs="方正黑体_GBK"/>
          <w:i w:val="0"/>
          <w:iCs w:val="0"/>
          <w:color w:val="auto"/>
          <w:sz w:val="24"/>
          <w:szCs w:val="24"/>
          <w:highlight w:val="none"/>
          <w:u w:val="none"/>
        </w:rPr>
      </w:pPr>
      <w:r>
        <w:rPr>
          <w:rFonts w:hint="eastAsia" w:ascii="方正黑体_GBK" w:hAnsi="方正黑体_GBK" w:eastAsia="方正黑体_GBK" w:cs="方正黑体_GBK"/>
          <w:i w:val="0"/>
          <w:iCs w:val="0"/>
          <w:color w:val="auto"/>
          <w:sz w:val="24"/>
          <w:szCs w:val="24"/>
          <w:highlight w:val="none"/>
          <w:u w:val="none"/>
        </w:rPr>
        <w:t>采购包1 江苏海洋大学2026-2029年度保安服务项目（苍梧校区）</w:t>
      </w:r>
    </w:p>
    <w:tbl>
      <w:tblPr>
        <w:tblStyle w:val="8"/>
        <w:tblW w:w="88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0"/>
        <w:gridCol w:w="8014"/>
      </w:tblGrid>
      <w:tr w14:paraId="1AD82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3" w:hRule="atLeast"/>
          <w:jc w:val="center"/>
        </w:trPr>
        <w:tc>
          <w:tcPr>
            <w:tcW w:w="8864" w:type="dxa"/>
            <w:gridSpan w:val="2"/>
            <w:tcBorders>
              <w:top w:val="nil"/>
              <w:left w:val="nil"/>
              <w:bottom w:val="single" w:color="000000" w:sz="4" w:space="0"/>
              <w:right w:val="nil"/>
            </w:tcBorders>
            <w:vAlign w:val="center"/>
          </w:tcPr>
          <w:p w14:paraId="730ED397">
            <w:pPr>
              <w:jc w:val="center"/>
              <w:rPr>
                <w:rFonts w:ascii="宋体" w:hAnsi="宋体"/>
                <w:b/>
                <w:bCs/>
                <w:i w:val="0"/>
                <w:iCs w:val="0"/>
                <w:color w:val="auto"/>
                <w:sz w:val="24"/>
                <w:szCs w:val="24"/>
                <w:highlight w:val="none"/>
                <w:u w:val="none"/>
              </w:rPr>
            </w:pPr>
            <w:r>
              <w:rPr>
                <w:rFonts w:ascii="宋体" w:hAnsi="宋体"/>
                <w:b/>
                <w:bCs/>
                <w:i w:val="0"/>
                <w:iCs w:val="0"/>
                <w:color w:val="auto"/>
                <w:sz w:val="24"/>
                <w:szCs w:val="24"/>
                <w:highlight w:val="none"/>
                <w:u w:val="none"/>
              </w:rPr>
              <w:t>采购需求中须满足的实质性要求和条件</w:t>
            </w:r>
          </w:p>
        </w:tc>
      </w:tr>
      <w:tr w14:paraId="676D64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7" w:hRule="atLeast"/>
          <w:jc w:val="center"/>
        </w:trPr>
        <w:tc>
          <w:tcPr>
            <w:tcW w:w="850" w:type="dxa"/>
            <w:tcBorders>
              <w:top w:val="single" w:color="000000" w:sz="4" w:space="0"/>
            </w:tcBorders>
            <w:vAlign w:val="center"/>
          </w:tcPr>
          <w:p w14:paraId="72604683">
            <w:pPr>
              <w:jc w:val="center"/>
              <w:rPr>
                <w:rFonts w:ascii="Times New Roman" w:hAnsi="Times New Roman"/>
                <w:b/>
                <w:i w:val="0"/>
                <w:iCs w:val="0"/>
                <w:color w:val="auto"/>
                <w:sz w:val="24"/>
                <w:szCs w:val="24"/>
                <w:highlight w:val="none"/>
                <w:u w:val="none"/>
              </w:rPr>
            </w:pPr>
            <w:r>
              <w:rPr>
                <w:rFonts w:ascii="Times New Roman" w:hAnsi="Times New Roman"/>
                <w:b/>
                <w:i w:val="0"/>
                <w:iCs w:val="0"/>
                <w:color w:val="auto"/>
                <w:sz w:val="24"/>
                <w:szCs w:val="24"/>
                <w:highlight w:val="none"/>
                <w:u w:val="none"/>
              </w:rPr>
              <w:t>序号</w:t>
            </w:r>
          </w:p>
        </w:tc>
        <w:tc>
          <w:tcPr>
            <w:tcW w:w="8014" w:type="dxa"/>
            <w:tcBorders>
              <w:top w:val="single" w:color="000000" w:sz="4" w:space="0"/>
            </w:tcBorders>
            <w:vAlign w:val="center"/>
          </w:tcPr>
          <w:p w14:paraId="727E0407">
            <w:pPr>
              <w:jc w:val="center"/>
              <w:rPr>
                <w:rFonts w:ascii="Times New Roman" w:hAnsi="Times New Roman"/>
                <w:b/>
                <w:i w:val="0"/>
                <w:iCs w:val="0"/>
                <w:color w:val="auto"/>
                <w:sz w:val="24"/>
                <w:szCs w:val="24"/>
                <w:highlight w:val="none"/>
                <w:u w:val="none"/>
              </w:rPr>
            </w:pPr>
            <w:r>
              <w:rPr>
                <w:rFonts w:ascii="Times New Roman" w:hAnsi="Times New Roman"/>
                <w:b/>
                <w:i w:val="0"/>
                <w:iCs w:val="0"/>
                <w:color w:val="auto"/>
                <w:sz w:val="24"/>
                <w:szCs w:val="24"/>
                <w:highlight w:val="none"/>
                <w:u w:val="none"/>
              </w:rPr>
              <w:t>实质性要求和条件</w:t>
            </w:r>
          </w:p>
        </w:tc>
      </w:tr>
      <w:tr w14:paraId="1CB4D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7" w:hRule="atLeast"/>
          <w:jc w:val="center"/>
        </w:trPr>
        <w:tc>
          <w:tcPr>
            <w:tcW w:w="850" w:type="dxa"/>
            <w:vAlign w:val="center"/>
          </w:tcPr>
          <w:p w14:paraId="6AC3A13E">
            <w:pPr>
              <w:jc w:val="center"/>
              <w:rPr>
                <w:rFonts w:ascii="Times New Roman" w:hAnsi="Times New Roman"/>
                <w:i w:val="0"/>
                <w:iCs w:val="0"/>
                <w:color w:val="auto"/>
                <w:sz w:val="24"/>
                <w:szCs w:val="24"/>
                <w:highlight w:val="none"/>
                <w:u w:val="none"/>
              </w:rPr>
            </w:pPr>
            <w:r>
              <w:rPr>
                <w:rFonts w:ascii="Times New Roman" w:hAnsi="Times New Roman"/>
                <w:i w:val="0"/>
                <w:iCs w:val="0"/>
                <w:color w:val="auto"/>
                <w:sz w:val="24"/>
                <w:szCs w:val="24"/>
                <w:highlight w:val="none"/>
                <w:u w:val="none"/>
              </w:rPr>
              <w:t>1</w:t>
            </w:r>
          </w:p>
        </w:tc>
        <w:tc>
          <w:tcPr>
            <w:tcW w:w="8014" w:type="dxa"/>
          </w:tcPr>
          <w:p w14:paraId="5AB79664">
            <w:pPr>
              <w:jc w:val="left"/>
              <w:rPr>
                <w:rFonts w:ascii="Times New Roman" w:hAnsi="Times New Roman"/>
                <w:b/>
                <w:i w:val="0"/>
                <w:iCs w:val="0"/>
                <w:color w:val="auto"/>
                <w:sz w:val="24"/>
                <w:szCs w:val="24"/>
                <w:highlight w:val="none"/>
                <w:u w:val="none"/>
              </w:rPr>
            </w:pPr>
            <w:r>
              <w:rPr>
                <w:rFonts w:ascii="Times New Roman" w:hAnsi="Times New Roman"/>
                <w:b/>
                <w:i w:val="0"/>
                <w:iCs w:val="0"/>
                <w:color w:val="auto"/>
                <w:sz w:val="24"/>
                <w:szCs w:val="24"/>
                <w:highlight w:val="none"/>
                <w:u w:val="none"/>
              </w:rPr>
              <w:t>三、人员配备要求</w:t>
            </w:r>
          </w:p>
          <w:p w14:paraId="6E0DA661">
            <w:pPr>
              <w:jc w:val="left"/>
              <w:rPr>
                <w:rFonts w:ascii="Times New Roman" w:hAnsi="Times New Roman"/>
                <w:i w:val="0"/>
                <w:iCs w:val="0"/>
                <w:color w:val="auto"/>
                <w:sz w:val="24"/>
                <w:szCs w:val="24"/>
                <w:highlight w:val="none"/>
                <w:u w:val="none"/>
              </w:rPr>
            </w:pPr>
            <w:bookmarkStart w:id="3" w:name="OLE_LINK29"/>
            <w:r>
              <w:rPr>
                <w:rFonts w:hint="eastAsia" w:ascii="Times New Roman" w:hAnsi="Times New Roman"/>
                <w:i w:val="0"/>
                <w:iCs w:val="0"/>
                <w:color w:val="auto"/>
                <w:sz w:val="24"/>
                <w:szCs w:val="24"/>
                <w:highlight w:val="none"/>
                <w:u w:val="none"/>
              </w:rPr>
              <w:t>各岗位实际配置人数不得低于56人，其中项目经理1人，保安队长3人，文员1人，苍梧路正门门卫日常管理(1号门)6人，苍梧路西门门卫日常管理（2号门）9人，学院路东门门卫日常管理（3号门）8人，东区学院路大门门卫日常管理（4号门）6人，校园安全巡逻11人，监控指挥中心值班4人，行政楼内及门前安全值守3人，消防控制室值班4人。投标人必须书面承诺人员配置要求以及岗位要求，投标文件须提供加盖公章的承诺书(格式自拟)，否则投标无效。</w:t>
            </w:r>
            <w:bookmarkEnd w:id="3"/>
          </w:p>
        </w:tc>
      </w:tr>
      <w:tr w14:paraId="02C077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850" w:type="dxa"/>
            <w:vAlign w:val="center"/>
          </w:tcPr>
          <w:p w14:paraId="607A9EA4">
            <w:pPr>
              <w:jc w:val="center"/>
              <w:rPr>
                <w:rFonts w:ascii="Times New Roman" w:hAnsi="Times New Roman"/>
                <w:i w:val="0"/>
                <w:iCs w:val="0"/>
                <w:color w:val="auto"/>
                <w:sz w:val="24"/>
                <w:szCs w:val="24"/>
                <w:highlight w:val="none"/>
                <w:u w:val="none"/>
              </w:rPr>
            </w:pPr>
            <w:r>
              <w:rPr>
                <w:rFonts w:ascii="Times New Roman" w:hAnsi="Times New Roman"/>
                <w:i w:val="0"/>
                <w:iCs w:val="0"/>
                <w:color w:val="auto"/>
                <w:sz w:val="24"/>
                <w:szCs w:val="24"/>
                <w:highlight w:val="none"/>
                <w:u w:val="none"/>
              </w:rPr>
              <w:t>2</w:t>
            </w:r>
          </w:p>
        </w:tc>
        <w:tc>
          <w:tcPr>
            <w:tcW w:w="8014" w:type="dxa"/>
          </w:tcPr>
          <w:p w14:paraId="43281A08">
            <w:pPr>
              <w:rPr>
                <w:rFonts w:ascii="Times New Roman" w:hAnsi="Times New Roman"/>
                <w:b/>
                <w:i w:val="0"/>
                <w:iCs w:val="0"/>
                <w:color w:val="auto"/>
                <w:sz w:val="24"/>
                <w:szCs w:val="24"/>
                <w:highlight w:val="none"/>
                <w:u w:val="none"/>
              </w:rPr>
            </w:pPr>
            <w:r>
              <w:rPr>
                <w:rFonts w:ascii="Times New Roman" w:hAnsi="Times New Roman"/>
                <w:b/>
                <w:i w:val="0"/>
                <w:iCs w:val="0"/>
                <w:color w:val="auto"/>
                <w:sz w:val="24"/>
                <w:szCs w:val="24"/>
                <w:highlight w:val="none"/>
                <w:u w:val="none"/>
              </w:rPr>
              <w:t>四、服务期限</w:t>
            </w:r>
          </w:p>
          <w:p w14:paraId="31E03E3D">
            <w:pPr>
              <w:jc w:val="left"/>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3年，自2026年8月1日起至2029年7月31日止。</w:t>
            </w:r>
          </w:p>
        </w:tc>
      </w:tr>
      <w:tr w14:paraId="63CDB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850" w:type="dxa"/>
            <w:vAlign w:val="center"/>
          </w:tcPr>
          <w:p w14:paraId="5C5C4608">
            <w:pPr>
              <w:jc w:val="center"/>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3</w:t>
            </w:r>
          </w:p>
        </w:tc>
        <w:tc>
          <w:tcPr>
            <w:tcW w:w="8014" w:type="dxa"/>
          </w:tcPr>
          <w:p w14:paraId="690282B8">
            <w:pPr>
              <w:rPr>
                <w:rFonts w:ascii="Times New Roman" w:hAnsi="Times New Roman"/>
                <w:i w:val="0"/>
                <w:iCs w:val="0"/>
                <w:color w:val="auto"/>
                <w:sz w:val="24"/>
                <w:szCs w:val="24"/>
                <w:highlight w:val="none"/>
                <w:u w:val="none"/>
              </w:rPr>
            </w:pPr>
            <w:r>
              <w:rPr>
                <w:rFonts w:ascii="Times New Roman" w:hAnsi="Times New Roman"/>
                <w:b/>
                <w:i w:val="0"/>
                <w:iCs w:val="0"/>
                <w:color w:val="auto"/>
                <w:sz w:val="24"/>
                <w:szCs w:val="24"/>
                <w:highlight w:val="none"/>
                <w:u w:val="none"/>
              </w:rPr>
              <w:t>五、服务标准</w:t>
            </w:r>
          </w:p>
          <w:p w14:paraId="5AF77EF1">
            <w:pPr>
              <w:rPr>
                <w:rFonts w:ascii="Times New Roman" w:hAnsi="Times New Roman"/>
                <w:b/>
                <w:i w:val="0"/>
                <w:iCs w:val="0"/>
                <w:color w:val="auto"/>
                <w:sz w:val="24"/>
                <w:szCs w:val="24"/>
                <w:highlight w:val="none"/>
                <w:u w:val="none"/>
              </w:rPr>
            </w:pPr>
            <w:r>
              <w:rPr>
                <w:rFonts w:hint="eastAsia" w:ascii="Times New Roman" w:hAnsi="Times New Roman"/>
                <w:i w:val="0"/>
                <w:iCs w:val="0"/>
                <w:color w:val="auto"/>
                <w:sz w:val="24"/>
                <w:szCs w:val="24"/>
                <w:highlight w:val="none"/>
                <w:u w:val="none"/>
              </w:rPr>
              <w:t>按照《江苏海洋大学校园保安服务细则》执行。</w:t>
            </w:r>
          </w:p>
        </w:tc>
      </w:tr>
      <w:tr w14:paraId="5C7DB3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3" w:hRule="atLeast"/>
          <w:jc w:val="center"/>
        </w:trPr>
        <w:tc>
          <w:tcPr>
            <w:tcW w:w="850" w:type="dxa"/>
            <w:vAlign w:val="center"/>
          </w:tcPr>
          <w:p w14:paraId="2CA37C0C">
            <w:pPr>
              <w:jc w:val="center"/>
              <w:rPr>
                <w:rFonts w:ascii="Times New Roman" w:hAnsi="Times New Roman"/>
                <w:i w:val="0"/>
                <w:iCs w:val="0"/>
                <w:color w:val="auto"/>
                <w:sz w:val="24"/>
                <w:szCs w:val="24"/>
                <w:highlight w:val="none"/>
                <w:u w:val="none"/>
              </w:rPr>
            </w:pPr>
            <w:r>
              <w:rPr>
                <w:rFonts w:ascii="Times New Roman" w:hAnsi="Times New Roman"/>
                <w:i w:val="0"/>
                <w:iCs w:val="0"/>
                <w:color w:val="auto"/>
                <w:sz w:val="24"/>
                <w:szCs w:val="24"/>
                <w:highlight w:val="none"/>
                <w:u w:val="none"/>
              </w:rPr>
              <w:t>4</w:t>
            </w:r>
          </w:p>
        </w:tc>
        <w:tc>
          <w:tcPr>
            <w:tcW w:w="8014" w:type="dxa"/>
          </w:tcPr>
          <w:p w14:paraId="259564F0">
            <w:pPr>
              <w:rPr>
                <w:rFonts w:ascii="Times New Roman" w:hAnsi="Times New Roman"/>
                <w:i w:val="0"/>
                <w:iCs w:val="0"/>
                <w:color w:val="auto"/>
                <w:sz w:val="24"/>
                <w:szCs w:val="24"/>
                <w:highlight w:val="none"/>
                <w:u w:val="none"/>
              </w:rPr>
            </w:pPr>
            <w:r>
              <w:rPr>
                <w:rFonts w:ascii="Times New Roman" w:hAnsi="Times New Roman"/>
                <w:b/>
                <w:i w:val="0"/>
                <w:iCs w:val="0"/>
                <w:color w:val="auto"/>
                <w:sz w:val="24"/>
                <w:szCs w:val="24"/>
                <w:highlight w:val="none"/>
                <w:u w:val="none"/>
              </w:rPr>
              <w:t>八、付款方式与履约保证金</w:t>
            </w:r>
          </w:p>
          <w:p w14:paraId="50622FDA">
            <w:pPr>
              <w:ind w:firstLine="480" w:firstLineChars="200"/>
              <w:rPr>
                <w:rFonts w:ascii="Times New Roman" w:hAnsi="Times New Roman"/>
                <w:i w:val="0"/>
                <w:iCs w:val="0"/>
                <w:color w:val="auto"/>
                <w:sz w:val="24"/>
                <w:szCs w:val="24"/>
                <w:highlight w:val="none"/>
                <w:u w:val="none"/>
              </w:rPr>
            </w:pPr>
            <w:r>
              <w:rPr>
                <w:rFonts w:ascii="Times New Roman" w:hAnsi="Times New Roman"/>
                <w:i w:val="0"/>
                <w:iCs w:val="0"/>
                <w:color w:val="auto"/>
                <w:sz w:val="24"/>
                <w:szCs w:val="24"/>
                <w:highlight w:val="none"/>
                <w:u w:val="none"/>
              </w:rPr>
              <w:t>1、</w:t>
            </w:r>
            <w:r>
              <w:rPr>
                <w:rFonts w:hint="eastAsia" w:ascii="Times New Roman" w:hAnsi="Times New Roman"/>
                <w:i w:val="0"/>
                <w:iCs w:val="0"/>
                <w:color w:val="auto"/>
                <w:sz w:val="24"/>
                <w:szCs w:val="24"/>
                <w:highlight w:val="none"/>
                <w:u w:val="none"/>
              </w:rPr>
              <w:t>付款方式：</w:t>
            </w:r>
          </w:p>
          <w:p w14:paraId="61D29E07">
            <w:pPr>
              <w:ind w:firstLine="480" w:firstLineChars="200"/>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根据季度考核结果，次月15日前支付该季度服务费。</w:t>
            </w:r>
          </w:p>
          <w:p w14:paraId="68055898">
            <w:pPr>
              <w:ind w:firstLine="480"/>
              <w:jc w:val="left"/>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对满足合同约定支付条件的，采购人自收到发票后30日内将资金支付到合同约定的供应商账户(以发票开具日期计算)。</w:t>
            </w:r>
          </w:p>
          <w:p w14:paraId="3024A832">
            <w:pPr>
              <w:ind w:firstLine="480"/>
              <w:rPr>
                <w:rFonts w:ascii="Times New Roman" w:hAnsi="Times New Roman"/>
                <w:i w:val="0"/>
                <w:iCs w:val="0"/>
                <w:color w:val="auto"/>
                <w:sz w:val="24"/>
                <w:szCs w:val="24"/>
                <w:highlight w:val="none"/>
                <w:u w:val="none"/>
              </w:rPr>
            </w:pPr>
            <w:r>
              <w:rPr>
                <w:rFonts w:ascii="Times New Roman" w:hAnsi="Times New Roman"/>
                <w:i w:val="0"/>
                <w:iCs w:val="0"/>
                <w:color w:val="auto"/>
                <w:sz w:val="24"/>
                <w:szCs w:val="24"/>
                <w:highlight w:val="none"/>
                <w:u w:val="none"/>
              </w:rPr>
              <w:t>2、履约保证金</w:t>
            </w:r>
          </w:p>
          <w:p w14:paraId="16DAA1CB">
            <w:pPr>
              <w:ind w:firstLine="240" w:firstLineChars="100"/>
              <w:jc w:val="left"/>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（1）本项目履约保证金为合同金额的5%。</w:t>
            </w:r>
          </w:p>
        </w:tc>
      </w:tr>
    </w:tbl>
    <w:p w14:paraId="5858B9AD">
      <w:pPr>
        <w:spacing w:line="360" w:lineRule="auto"/>
        <w:ind w:firstLine="562"/>
        <w:rPr>
          <w:rFonts w:ascii="Times New Roman" w:hAnsi="Times New Roman"/>
          <w:b/>
          <w:i w:val="0"/>
          <w:iCs w:val="0"/>
          <w:color w:val="auto"/>
          <w:sz w:val="28"/>
          <w:szCs w:val="28"/>
          <w:highlight w:val="none"/>
          <w:u w:val="none"/>
        </w:rPr>
      </w:pPr>
      <w:r>
        <w:rPr>
          <w:rFonts w:ascii="Times New Roman" w:hAnsi="Times New Roman"/>
          <w:b/>
          <w:i w:val="0"/>
          <w:iCs w:val="0"/>
          <w:color w:val="auto"/>
          <w:sz w:val="28"/>
          <w:szCs w:val="28"/>
          <w:highlight w:val="none"/>
          <w:u w:val="none"/>
        </w:rPr>
        <w:t>一、项目概况（或背景或主要建设内容）</w:t>
      </w:r>
    </w:p>
    <w:p w14:paraId="6E19DDD7">
      <w:pPr>
        <w:spacing w:line="360" w:lineRule="auto"/>
        <w:ind w:firstLine="472" w:firstLineChars="200"/>
        <w:rPr>
          <w:rFonts w:ascii="宋体" w:hAnsi="宋体" w:cs="仿宋_GB2312"/>
          <w:i w:val="0"/>
          <w:iCs w:val="0"/>
          <w:color w:val="auto"/>
          <w:spacing w:val="-2"/>
          <w:kern w:val="2"/>
          <w:sz w:val="24"/>
          <w:szCs w:val="24"/>
          <w:highlight w:val="none"/>
          <w:u w:val="none"/>
        </w:rPr>
      </w:pPr>
      <w:r>
        <w:rPr>
          <w:rFonts w:hint="eastAsia" w:ascii="宋体" w:hAnsi="宋体" w:cs="仿宋_GB2312"/>
          <w:i w:val="0"/>
          <w:iCs w:val="0"/>
          <w:color w:val="auto"/>
          <w:spacing w:val="-2"/>
          <w:kern w:val="2"/>
          <w:sz w:val="24"/>
          <w:szCs w:val="24"/>
          <w:highlight w:val="none"/>
          <w:u w:val="none"/>
        </w:rPr>
        <w:t>江苏海洋大学苍梧校区现有保安服务合同将于2026年7月底届满，合同到期后需重新采购保安服务以保障校园安全。校园安全是高校正常教学、科研、生活秩序的核心保障，苍梧校区作为学校核心校区，人员流动密集、设施设备集中，常态化安全保卫工作任务艰巨。为持续维护校区安全稳定，规范校园安保管理流程，防范各类安全风险，满足校区门卫值守、巡逻防控、监控值班、消防值守等全方位安保需求，特立项开展本次保安服务采购工作，确保安保工作的连续性、规范性和专业性。</w:t>
      </w:r>
    </w:p>
    <w:p w14:paraId="177DD417">
      <w:pPr>
        <w:spacing w:line="360" w:lineRule="auto"/>
        <w:ind w:firstLine="480" w:firstLineChars="20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本项目保安服务期限为3年，自2026年8月1日起至2029年7月31日止，服务期间须确保工作无缝衔接，无值守空档。</w:t>
      </w:r>
    </w:p>
    <w:p w14:paraId="2C3D840B">
      <w:pPr>
        <w:spacing w:line="360" w:lineRule="auto"/>
        <w:ind w:firstLine="480" w:firstLineChars="20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本次招标按校园安保岗位规范设置，共计配备保安人员56名，人员配置须严格符合以下要求：</w:t>
      </w:r>
    </w:p>
    <w:p w14:paraId="484918A7">
      <w:pPr>
        <w:spacing w:line="360" w:lineRule="auto"/>
        <w:ind w:firstLine="480" w:firstLineChars="20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 xml:space="preserve"> 年龄要求：保安人员年龄原则上不超过50周岁；</w:t>
      </w:r>
    </w:p>
    <w:p w14:paraId="652FDE5D">
      <w:pPr>
        <w:spacing w:line="360" w:lineRule="auto"/>
        <w:ind w:firstLine="480" w:firstLineChars="20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 xml:space="preserve"> 健康要求：所有保安人员需提供有效健康证明，确保身体健康、无慢性病史及不适宜安保岗位的疾病；</w:t>
      </w:r>
    </w:p>
    <w:p w14:paraId="64830618">
      <w:pPr>
        <w:spacing w:line="360" w:lineRule="auto"/>
        <w:ind w:firstLine="480" w:firstLineChars="20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人员管理：服务期间，岗位调整及人员更换必须经校方书面批准后方可执行，全程保证各岗位人员足额到位，不得擅自缺岗、换岗。</w:t>
      </w:r>
    </w:p>
    <w:p w14:paraId="0263CFFA">
      <w:pPr>
        <w:spacing w:line="360" w:lineRule="auto"/>
        <w:ind w:firstLine="480" w:firstLineChars="20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服务范围：本次保安服务范围覆盖苍梧校区全部安保相关工作，具体包括：</w:t>
      </w:r>
    </w:p>
    <w:p w14:paraId="14EC26C7">
      <w:pPr>
        <w:spacing w:line="360" w:lineRule="auto"/>
        <w:ind w:firstLine="480" w:firstLineChars="20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 xml:space="preserve"> 门卫日常管理：负责校区出入口值守、人员及车辆进出登记、查验等工作；</w:t>
      </w:r>
    </w:p>
    <w:p w14:paraId="723AF726">
      <w:pPr>
        <w:spacing w:line="360" w:lineRule="auto"/>
        <w:ind w:firstLine="480" w:firstLineChars="20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 xml:space="preserve"> 定点安全值守：负责行政楼内部及门前区域的安全值守，保障行政办公秩序；</w:t>
      </w:r>
    </w:p>
    <w:p w14:paraId="7A6694E6">
      <w:pPr>
        <w:spacing w:line="360" w:lineRule="auto"/>
        <w:ind w:firstLine="480" w:firstLineChars="20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校园安全巡逻：负责校区全域常态化巡逻，排查安全隐患、处置突发情况；</w:t>
      </w:r>
    </w:p>
    <w:p w14:paraId="360595BF">
      <w:pPr>
        <w:spacing w:line="360" w:lineRule="auto"/>
        <w:ind w:firstLine="480" w:firstLineChars="20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 xml:space="preserve"> 监控指挥中心值班：负责监控设备实时值守、异常情况上报及处置；</w:t>
      </w:r>
    </w:p>
    <w:p w14:paraId="60F368ED">
      <w:pPr>
        <w:spacing w:line="360" w:lineRule="auto"/>
        <w:ind w:firstLine="480" w:firstLineChars="20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 xml:space="preserve"> 消防控制室值班：负责消防设施设备值守、消防隐患排查及应急处置。</w:t>
      </w:r>
    </w:p>
    <w:p w14:paraId="0E6DDC5D">
      <w:pPr>
        <w:spacing w:line="360" w:lineRule="auto"/>
        <w:ind w:firstLine="562"/>
        <w:rPr>
          <w:rFonts w:ascii="Times New Roman" w:hAnsi="Times New Roman"/>
          <w:b/>
          <w:i w:val="0"/>
          <w:iCs w:val="0"/>
          <w:color w:val="auto"/>
          <w:sz w:val="28"/>
          <w:szCs w:val="28"/>
          <w:highlight w:val="none"/>
          <w:u w:val="none"/>
        </w:rPr>
      </w:pPr>
      <w:r>
        <w:rPr>
          <w:rFonts w:ascii="Times New Roman" w:hAnsi="Times New Roman"/>
          <w:b/>
          <w:i w:val="0"/>
          <w:iCs w:val="0"/>
          <w:color w:val="auto"/>
          <w:sz w:val="28"/>
          <w:szCs w:val="28"/>
          <w:highlight w:val="none"/>
          <w:u w:val="none"/>
        </w:rPr>
        <w:t>二、服务技术要求</w:t>
      </w:r>
    </w:p>
    <w:p w14:paraId="27AB9A21">
      <w:pPr>
        <w:spacing w:line="360" w:lineRule="auto"/>
        <w:ind w:firstLine="480"/>
        <w:rPr>
          <w:rFonts w:ascii="Times New Roman" w:hAnsi="Times New Roman"/>
          <w:i w:val="0"/>
          <w:iCs w:val="0"/>
          <w:color w:val="auto"/>
          <w:sz w:val="24"/>
          <w:szCs w:val="24"/>
          <w:highlight w:val="none"/>
          <w:u w:val="none"/>
        </w:rPr>
      </w:pPr>
      <w:r>
        <w:rPr>
          <w:rFonts w:ascii="Times New Roman" w:hAnsi="Times New Roman"/>
          <w:i w:val="0"/>
          <w:iCs w:val="0"/>
          <w:color w:val="auto"/>
          <w:sz w:val="24"/>
          <w:szCs w:val="24"/>
          <w:highlight w:val="none"/>
          <w:u w:val="none"/>
        </w:rPr>
        <w:t>1、服务范围（服务内容）</w:t>
      </w:r>
    </w:p>
    <w:p w14:paraId="7D449C42">
      <w:pPr>
        <w:pStyle w:val="2"/>
        <w:ind w:firstLine="480"/>
        <w:rPr>
          <w:i w:val="0"/>
          <w:iCs w:val="0"/>
          <w:color w:val="auto"/>
          <w:sz w:val="24"/>
          <w:highlight w:val="none"/>
          <w:u w:val="none"/>
          <w:lang w:eastAsia="zh-CN"/>
        </w:rPr>
      </w:pPr>
      <w:r>
        <w:rPr>
          <w:rFonts w:hint="eastAsia"/>
          <w:i w:val="0"/>
          <w:iCs w:val="0"/>
          <w:color w:val="auto"/>
          <w:sz w:val="24"/>
          <w:highlight w:val="none"/>
          <w:u w:val="none"/>
          <w:lang w:eastAsia="zh-CN"/>
        </w:rPr>
        <w:t>门卫日常管理、行政楼内及门前安全值守、校园安全巡逻、监控指挥中心值班</w:t>
      </w:r>
      <w:bookmarkStart w:id="4" w:name="OLE_LINK12"/>
      <w:bookmarkStart w:id="5" w:name="OLE_LINK11"/>
      <w:r>
        <w:rPr>
          <w:rFonts w:hint="eastAsia"/>
          <w:i w:val="0"/>
          <w:iCs w:val="0"/>
          <w:color w:val="auto"/>
          <w:sz w:val="24"/>
          <w:highlight w:val="none"/>
          <w:u w:val="none"/>
          <w:lang w:eastAsia="zh-CN"/>
        </w:rPr>
        <w:t>、 消防控制室值班</w:t>
      </w:r>
      <w:bookmarkEnd w:id="4"/>
      <w:bookmarkEnd w:id="5"/>
      <w:r>
        <w:rPr>
          <w:rFonts w:hint="eastAsia"/>
          <w:i w:val="0"/>
          <w:iCs w:val="0"/>
          <w:color w:val="auto"/>
          <w:sz w:val="24"/>
          <w:highlight w:val="none"/>
          <w:u w:val="none"/>
          <w:lang w:eastAsia="zh-CN"/>
        </w:rPr>
        <w:t>。</w:t>
      </w:r>
    </w:p>
    <w:p w14:paraId="4C2B79A0">
      <w:pPr>
        <w:pStyle w:val="2"/>
        <w:ind w:firstLine="480"/>
        <w:rPr>
          <w:i w:val="0"/>
          <w:iCs w:val="0"/>
          <w:color w:val="auto"/>
          <w:sz w:val="24"/>
          <w:highlight w:val="none"/>
          <w:u w:val="none"/>
          <w:lang w:eastAsia="zh-CN"/>
        </w:rPr>
      </w:pPr>
      <w:r>
        <w:rPr>
          <w:rFonts w:hint="eastAsia"/>
          <w:i w:val="0"/>
          <w:iCs w:val="0"/>
          <w:color w:val="auto"/>
          <w:sz w:val="24"/>
          <w:highlight w:val="none"/>
          <w:u w:val="none"/>
          <w:lang w:eastAsia="zh-CN"/>
        </w:rPr>
        <w:t>2、服务要求：</w:t>
      </w:r>
    </w:p>
    <w:p w14:paraId="3AE5CD76">
      <w:pPr>
        <w:pStyle w:val="2"/>
        <w:ind w:firstLine="480"/>
        <w:rPr>
          <w:i w:val="0"/>
          <w:iCs w:val="0"/>
          <w:color w:val="auto"/>
          <w:spacing w:val="-2"/>
          <w:sz w:val="24"/>
          <w:highlight w:val="none"/>
          <w:u w:val="none"/>
          <w:lang w:eastAsia="zh-CN"/>
        </w:rPr>
      </w:pPr>
      <w:r>
        <w:rPr>
          <w:rFonts w:hint="eastAsia"/>
          <w:i w:val="0"/>
          <w:iCs w:val="0"/>
          <w:color w:val="auto"/>
          <w:spacing w:val="-2"/>
          <w:sz w:val="24"/>
          <w:highlight w:val="none"/>
          <w:u w:val="none"/>
          <w:lang w:eastAsia="zh-CN"/>
        </w:rPr>
        <w:t>2.1门卫日常管理：承担江苏海洋大学苍梧校区4个校门的日常管理。严格执行《</w:t>
      </w:r>
      <w:bookmarkStart w:id="6" w:name="OLE_LINK10"/>
      <w:bookmarkStart w:id="7" w:name="OLE_LINK9"/>
      <w:r>
        <w:rPr>
          <w:rFonts w:hint="eastAsia"/>
          <w:i w:val="0"/>
          <w:iCs w:val="0"/>
          <w:color w:val="auto"/>
          <w:spacing w:val="-2"/>
          <w:sz w:val="24"/>
          <w:highlight w:val="none"/>
          <w:u w:val="none"/>
          <w:lang w:eastAsia="zh-CN"/>
        </w:rPr>
        <w:t>江苏海洋大学门卫管理制度</w:t>
      </w:r>
      <w:bookmarkEnd w:id="6"/>
      <w:bookmarkEnd w:id="7"/>
      <w:r>
        <w:rPr>
          <w:rFonts w:hint="eastAsia"/>
          <w:i w:val="0"/>
          <w:iCs w:val="0"/>
          <w:color w:val="auto"/>
          <w:spacing w:val="-2"/>
          <w:sz w:val="24"/>
          <w:highlight w:val="none"/>
          <w:u w:val="none"/>
          <w:lang w:eastAsia="zh-CN"/>
        </w:rPr>
        <w:t>》。熟悉校内各部门所在位置及分布情况；统一着装，姿态端正；文明值班，严肃交接班程序；来客来访登记；货物出入登记盘查；外单位机动车辆换证、收费等，发现问题及时处理和报告。学院路东门和东区大门的值班人员要熟悉东区学生宿舍情况，重点维护交通秩序，学生集中通行高峰时上路维持秩序，密切关注施工等带来的不安全隐患，发现问题及时上报，应急处理突发性事件。</w:t>
      </w:r>
    </w:p>
    <w:p w14:paraId="1D07F5A5">
      <w:pPr>
        <w:pStyle w:val="2"/>
        <w:ind w:firstLine="480"/>
        <w:rPr>
          <w:i w:val="0"/>
          <w:iCs w:val="0"/>
          <w:color w:val="auto"/>
          <w:sz w:val="24"/>
          <w:highlight w:val="none"/>
          <w:u w:val="none"/>
          <w:lang w:eastAsia="zh-CN"/>
        </w:rPr>
      </w:pPr>
      <w:r>
        <w:rPr>
          <w:rFonts w:hint="eastAsia"/>
          <w:i w:val="0"/>
          <w:iCs w:val="0"/>
          <w:color w:val="auto"/>
          <w:sz w:val="24"/>
          <w:highlight w:val="none"/>
          <w:u w:val="none"/>
          <w:lang w:eastAsia="zh-CN"/>
        </w:rPr>
        <w:t>2.2行政楼内及门前安全值守：承担江苏海洋大学苍梧校区行政楼楼内及门前24小时安全值守和秩序维护，接报警处置、记录。行政楼来客登记及盘查；报警电话接听及接处警等。</w:t>
      </w:r>
    </w:p>
    <w:p w14:paraId="5567833F">
      <w:pPr>
        <w:pStyle w:val="2"/>
        <w:ind w:firstLine="480"/>
        <w:rPr>
          <w:i w:val="0"/>
          <w:iCs w:val="0"/>
          <w:color w:val="auto"/>
          <w:sz w:val="24"/>
          <w:highlight w:val="none"/>
          <w:u w:val="none"/>
          <w:lang w:eastAsia="zh-CN"/>
        </w:rPr>
      </w:pPr>
      <w:r>
        <w:rPr>
          <w:rFonts w:hint="eastAsia"/>
          <w:i w:val="0"/>
          <w:iCs w:val="0"/>
          <w:color w:val="auto"/>
          <w:sz w:val="24"/>
          <w:highlight w:val="none"/>
          <w:u w:val="none"/>
          <w:lang w:eastAsia="zh-CN"/>
        </w:rPr>
        <w:t>2.3校园安全巡逻：承担江苏海洋大学苍梧校区24小时校内安全巡逻和突发事件处理，以及重点部位的巡逻。按照规定时间和规定路线巡逻，着装整齐，文明巡逻；制止和劝阻校园内一切违法违纪和不文明行为；发现干扰校园教学、办公、生活秩序者和其他不安全隐患时，要及时处理和报告；应急处理突发性事件；兼职校内消防队，熟悉校内各消防阀门的位置和功能，如遇火情或漏水，能及时正确处置。熟悉安全出口和疏散通道位置、能够熟练使用安防器材等。</w:t>
      </w:r>
    </w:p>
    <w:p w14:paraId="7F22EC96">
      <w:pPr>
        <w:pStyle w:val="2"/>
        <w:ind w:firstLine="480"/>
        <w:rPr>
          <w:i w:val="0"/>
          <w:iCs w:val="0"/>
          <w:color w:val="auto"/>
          <w:sz w:val="24"/>
          <w:highlight w:val="none"/>
          <w:u w:val="none"/>
          <w:lang w:eastAsia="zh-CN"/>
        </w:rPr>
      </w:pPr>
      <w:r>
        <w:rPr>
          <w:rFonts w:hint="eastAsia"/>
          <w:i w:val="0"/>
          <w:iCs w:val="0"/>
          <w:color w:val="auto"/>
          <w:sz w:val="24"/>
          <w:highlight w:val="none"/>
          <w:u w:val="none"/>
          <w:lang w:eastAsia="zh-CN"/>
        </w:rPr>
        <w:t>每周至少驾驶电动消防车校内巡逻2次，由有汽车驾驶证的队员驾驶，速度控制在15公里/小时以内。巡逻队员能熟练操纵车载消防泵、校内其他灭火器械以及破拆工具。如遇消控室报告烟感报警，应在3分钟之内到达报警点，并回复情况。如遇校园火情，应3分钟到达现场，组织灭火和疏散，报告带班领导。</w:t>
      </w:r>
    </w:p>
    <w:p w14:paraId="79DB3B7D">
      <w:pPr>
        <w:pStyle w:val="2"/>
        <w:ind w:firstLine="480"/>
        <w:rPr>
          <w:i w:val="0"/>
          <w:iCs w:val="0"/>
          <w:color w:val="auto"/>
          <w:spacing w:val="-2"/>
          <w:sz w:val="24"/>
          <w:highlight w:val="none"/>
          <w:u w:val="none"/>
          <w:lang w:eastAsia="zh-CN"/>
        </w:rPr>
      </w:pPr>
      <w:r>
        <w:rPr>
          <w:rFonts w:hint="eastAsia"/>
          <w:i w:val="0"/>
          <w:iCs w:val="0"/>
          <w:color w:val="auto"/>
          <w:spacing w:val="-2"/>
          <w:sz w:val="24"/>
          <w:highlight w:val="none"/>
          <w:u w:val="none"/>
          <w:lang w:eastAsia="zh-CN"/>
        </w:rPr>
        <w:t>使用校园电动巡逻车需具有摩托车或汽车机动驾驶证的人员方可驾驶，速度控制在20公里/小时以内。如违章驾驶造成师生员工伤害事故的，由保安服务公司承担民事和刑事责任。电动巡逻车平时可方便师生员工求助，应成为“校园流动服务车”。</w:t>
      </w:r>
    </w:p>
    <w:p w14:paraId="6A861422">
      <w:pPr>
        <w:pStyle w:val="2"/>
        <w:ind w:firstLine="480"/>
        <w:rPr>
          <w:i w:val="0"/>
          <w:iCs w:val="0"/>
          <w:color w:val="auto"/>
          <w:sz w:val="24"/>
          <w:highlight w:val="none"/>
          <w:u w:val="none"/>
          <w:lang w:eastAsia="zh-CN"/>
        </w:rPr>
      </w:pPr>
      <w:r>
        <w:rPr>
          <w:rFonts w:hint="eastAsia"/>
          <w:i w:val="0"/>
          <w:iCs w:val="0"/>
          <w:color w:val="auto"/>
          <w:sz w:val="24"/>
          <w:highlight w:val="none"/>
          <w:u w:val="none"/>
          <w:lang w:eastAsia="zh-CN"/>
        </w:rPr>
        <w:t>2.4监控指挥中心值班：严格遵守江苏海洋大学监控指挥中心的管理规定，承担监控指挥中心值班，处置发生的案件和学生求助。及时掌握各种监控信息，及时处理监控过程中发现的可疑信息，对监控过程中发现的情况及时进行处理和上报；值班人员必须严格按照规定时间上下班，不得随意离岗离位和夜间睡觉；做好前端设备巡查维护管理。</w:t>
      </w:r>
    </w:p>
    <w:p w14:paraId="34BF4195">
      <w:pPr>
        <w:pStyle w:val="2"/>
        <w:ind w:firstLine="480"/>
        <w:rPr>
          <w:i w:val="0"/>
          <w:iCs w:val="0"/>
          <w:color w:val="auto"/>
          <w:sz w:val="24"/>
          <w:highlight w:val="none"/>
          <w:u w:val="none"/>
          <w:lang w:eastAsia="zh-CN"/>
        </w:rPr>
      </w:pPr>
      <w:r>
        <w:rPr>
          <w:rFonts w:hint="eastAsia"/>
          <w:i w:val="0"/>
          <w:iCs w:val="0"/>
          <w:color w:val="auto"/>
          <w:sz w:val="24"/>
          <w:highlight w:val="none"/>
          <w:u w:val="none"/>
          <w:lang w:eastAsia="zh-CN"/>
        </w:rPr>
        <w:t>2.5消防控制室值班：承担消防控制室值班，及时掌握消防监控信息，对监控过程中发现的情况及时进行处理和上报；值班人员必须严格按照规定时间上下班，不得随意离岗离位，掌握消防设施的工作原理、功能和操作规程，对消防设施进行每日检查，并填写《消防控制室值班记录》。</w:t>
      </w:r>
    </w:p>
    <w:p w14:paraId="2843B3D1">
      <w:pPr>
        <w:spacing w:line="360" w:lineRule="auto"/>
        <w:ind w:firstLine="482"/>
        <w:rPr>
          <w:rFonts w:ascii="Times New Roman" w:hAnsi="Times New Roman"/>
          <w:i w:val="0"/>
          <w:iCs w:val="0"/>
          <w:color w:val="auto"/>
          <w:sz w:val="24"/>
          <w:szCs w:val="24"/>
          <w:highlight w:val="none"/>
          <w:u w:val="none"/>
        </w:rPr>
      </w:pPr>
      <w:r>
        <w:rPr>
          <w:rFonts w:ascii="Times New Roman" w:hAnsi="Times New Roman"/>
          <w:b/>
          <w:i w:val="0"/>
          <w:iCs w:val="0"/>
          <w:color w:val="auto"/>
          <w:sz w:val="24"/>
          <w:szCs w:val="24"/>
          <w:highlight w:val="none"/>
          <w:u w:val="none"/>
        </w:rPr>
        <w:t>三、人员配备要求</w:t>
      </w:r>
    </w:p>
    <w:p w14:paraId="485625BA">
      <w:pPr>
        <w:spacing w:line="360" w:lineRule="auto"/>
        <w:ind w:firstLine="480" w:firstLineChars="20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本次招标按岗位设置共计56人，年龄原则上不得超过50周岁，上岗前必须进行健康体检（每年体检一次），确保身体健康，无慢性病史，岗位调整换人必须有校方批准后执行并保证人员足额，具体见附表要求。</w:t>
      </w:r>
    </w:p>
    <w:p w14:paraId="2BF23161">
      <w:pPr>
        <w:spacing w:line="360" w:lineRule="auto"/>
        <w:ind w:firstLine="480" w:firstLineChars="20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附表：岗位设置基本要求</w:t>
      </w:r>
    </w:p>
    <w:tbl>
      <w:tblPr>
        <w:tblStyle w:val="8"/>
        <w:tblW w:w="92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5"/>
        <w:gridCol w:w="992"/>
        <w:gridCol w:w="6520"/>
      </w:tblGrid>
      <w:tr w14:paraId="32276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jc w:val="center"/>
        </w:trPr>
        <w:tc>
          <w:tcPr>
            <w:tcW w:w="1695" w:type="dxa"/>
            <w:tcBorders>
              <w:top w:val="single" w:color="auto" w:sz="4" w:space="0"/>
              <w:left w:val="single" w:color="auto" w:sz="4" w:space="0"/>
              <w:bottom w:val="single" w:color="auto" w:sz="4" w:space="0"/>
              <w:right w:val="single" w:color="auto" w:sz="4" w:space="0"/>
            </w:tcBorders>
            <w:vAlign w:val="center"/>
          </w:tcPr>
          <w:p w14:paraId="055D23CB">
            <w:pPr>
              <w:snapToGrid w:val="0"/>
              <w:jc w:val="center"/>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岗  位</w:t>
            </w:r>
          </w:p>
        </w:tc>
        <w:tc>
          <w:tcPr>
            <w:tcW w:w="992" w:type="dxa"/>
            <w:tcBorders>
              <w:top w:val="single" w:color="auto" w:sz="4" w:space="0"/>
              <w:left w:val="single" w:color="auto" w:sz="4" w:space="0"/>
              <w:bottom w:val="single" w:color="auto" w:sz="4" w:space="0"/>
              <w:right w:val="single" w:color="auto" w:sz="4" w:space="0"/>
            </w:tcBorders>
            <w:vAlign w:val="center"/>
          </w:tcPr>
          <w:p w14:paraId="7AB30C54">
            <w:pPr>
              <w:snapToGrid w:val="0"/>
              <w:jc w:val="center"/>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人数</w:t>
            </w:r>
          </w:p>
          <w:p w14:paraId="6132D625">
            <w:pPr>
              <w:snapToGrid w:val="0"/>
              <w:jc w:val="center"/>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（人）</w:t>
            </w:r>
          </w:p>
        </w:tc>
        <w:tc>
          <w:tcPr>
            <w:tcW w:w="6520" w:type="dxa"/>
            <w:tcBorders>
              <w:top w:val="single" w:color="auto" w:sz="4" w:space="0"/>
              <w:left w:val="single" w:color="auto" w:sz="4" w:space="0"/>
              <w:bottom w:val="single" w:color="auto" w:sz="4" w:space="0"/>
              <w:right w:val="single" w:color="auto" w:sz="4" w:space="0"/>
            </w:tcBorders>
            <w:vAlign w:val="center"/>
          </w:tcPr>
          <w:p w14:paraId="764E3A81">
            <w:pPr>
              <w:snapToGrid w:val="0"/>
              <w:jc w:val="center"/>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岗位要求</w:t>
            </w:r>
          </w:p>
        </w:tc>
      </w:tr>
      <w:tr w14:paraId="34608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1695" w:type="dxa"/>
            <w:tcBorders>
              <w:top w:val="single" w:color="auto" w:sz="4" w:space="0"/>
              <w:left w:val="single" w:color="auto" w:sz="4" w:space="0"/>
              <w:bottom w:val="single" w:color="auto" w:sz="4" w:space="0"/>
              <w:right w:val="single" w:color="auto" w:sz="4" w:space="0"/>
            </w:tcBorders>
            <w:vAlign w:val="center"/>
          </w:tcPr>
          <w:p w14:paraId="2D36A283">
            <w:pPr>
              <w:snapToGrid w:val="0"/>
              <w:jc w:val="center"/>
              <w:rPr>
                <w:rFonts w:ascii="宋体" w:hAnsi="宋体" w:cs="仿宋_GB2312"/>
                <w:i w:val="0"/>
                <w:iCs w:val="0"/>
                <w:color w:val="auto"/>
                <w:kern w:val="2"/>
                <w:sz w:val="24"/>
                <w:szCs w:val="24"/>
                <w:highlight w:val="none"/>
                <w:u w:val="none"/>
              </w:rPr>
            </w:pPr>
            <w:bookmarkStart w:id="8" w:name="OLE_LINK16"/>
            <w:r>
              <w:rPr>
                <w:rFonts w:hint="eastAsia" w:ascii="宋体" w:hAnsi="宋体" w:cs="仿宋_GB2312"/>
                <w:i w:val="0"/>
                <w:iCs w:val="0"/>
                <w:color w:val="auto"/>
                <w:kern w:val="2"/>
                <w:sz w:val="24"/>
                <w:szCs w:val="24"/>
                <w:highlight w:val="none"/>
                <w:u w:val="none"/>
              </w:rPr>
              <w:t>项目经理</w:t>
            </w:r>
            <w:bookmarkEnd w:id="8"/>
          </w:p>
        </w:tc>
        <w:tc>
          <w:tcPr>
            <w:tcW w:w="992" w:type="dxa"/>
            <w:tcBorders>
              <w:top w:val="single" w:color="auto" w:sz="4" w:space="0"/>
              <w:left w:val="single" w:color="auto" w:sz="4" w:space="0"/>
              <w:bottom w:val="single" w:color="auto" w:sz="4" w:space="0"/>
              <w:right w:val="single" w:color="auto" w:sz="4" w:space="0"/>
            </w:tcBorders>
            <w:vAlign w:val="center"/>
          </w:tcPr>
          <w:p w14:paraId="24054ADE">
            <w:pPr>
              <w:snapToGrid w:val="0"/>
              <w:jc w:val="center"/>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1</w:t>
            </w:r>
          </w:p>
        </w:tc>
        <w:tc>
          <w:tcPr>
            <w:tcW w:w="6520" w:type="dxa"/>
            <w:tcBorders>
              <w:top w:val="single" w:color="auto" w:sz="4" w:space="0"/>
              <w:left w:val="single" w:color="auto" w:sz="4" w:space="0"/>
              <w:bottom w:val="single" w:color="auto" w:sz="4" w:space="0"/>
              <w:right w:val="single" w:color="auto" w:sz="4" w:space="0"/>
            </w:tcBorders>
            <w:vAlign w:val="center"/>
          </w:tcPr>
          <w:p w14:paraId="7A15E0DD">
            <w:pPr>
              <w:snapToGrid w:val="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驻场项目经理，工作日无特殊情况需在岗在位。能够对所有保安人员做好日常管理，制定工作计划，带领项目组所有成员做好安全保卫工作，确保辖区人、财、物的安全，协助学校处理突发事件，男性，具备高级保安证（三级）。项目经理每周驻场时间不得少于5天，每天不得低于8小时。</w:t>
            </w:r>
          </w:p>
        </w:tc>
      </w:tr>
      <w:tr w14:paraId="457FA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1695" w:type="dxa"/>
            <w:tcBorders>
              <w:top w:val="single" w:color="auto" w:sz="4" w:space="0"/>
              <w:left w:val="single" w:color="auto" w:sz="4" w:space="0"/>
              <w:bottom w:val="single" w:color="auto" w:sz="4" w:space="0"/>
              <w:right w:val="single" w:color="auto" w:sz="4" w:space="0"/>
            </w:tcBorders>
            <w:vAlign w:val="center"/>
          </w:tcPr>
          <w:p w14:paraId="75A7AA28">
            <w:pPr>
              <w:snapToGrid w:val="0"/>
              <w:jc w:val="center"/>
              <w:rPr>
                <w:rFonts w:ascii="宋体" w:hAnsi="宋体" w:cs="仿宋_GB2312"/>
                <w:i w:val="0"/>
                <w:iCs w:val="0"/>
                <w:color w:val="auto"/>
                <w:kern w:val="2"/>
                <w:sz w:val="24"/>
                <w:szCs w:val="24"/>
                <w:highlight w:val="none"/>
                <w:u w:val="none"/>
              </w:rPr>
            </w:pPr>
            <w:bookmarkStart w:id="9" w:name="OLE_LINK17"/>
            <w:r>
              <w:rPr>
                <w:rFonts w:hint="eastAsia" w:ascii="宋体" w:hAnsi="宋体" w:cs="仿宋_GB2312"/>
                <w:i w:val="0"/>
                <w:iCs w:val="0"/>
                <w:color w:val="auto"/>
                <w:kern w:val="2"/>
                <w:sz w:val="24"/>
                <w:szCs w:val="24"/>
                <w:highlight w:val="none"/>
                <w:u w:val="none"/>
              </w:rPr>
              <w:t>保安队长</w:t>
            </w:r>
            <w:bookmarkEnd w:id="9"/>
          </w:p>
        </w:tc>
        <w:tc>
          <w:tcPr>
            <w:tcW w:w="992" w:type="dxa"/>
            <w:tcBorders>
              <w:top w:val="single" w:color="auto" w:sz="4" w:space="0"/>
              <w:left w:val="single" w:color="auto" w:sz="4" w:space="0"/>
              <w:bottom w:val="single" w:color="auto" w:sz="4" w:space="0"/>
              <w:right w:val="single" w:color="auto" w:sz="4" w:space="0"/>
            </w:tcBorders>
            <w:vAlign w:val="center"/>
          </w:tcPr>
          <w:p w14:paraId="3C37B07A">
            <w:pPr>
              <w:snapToGrid w:val="0"/>
              <w:jc w:val="center"/>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w:t>
            </w:r>
          </w:p>
        </w:tc>
        <w:tc>
          <w:tcPr>
            <w:tcW w:w="6520" w:type="dxa"/>
            <w:tcBorders>
              <w:top w:val="single" w:color="auto" w:sz="4" w:space="0"/>
              <w:left w:val="single" w:color="auto" w:sz="4" w:space="0"/>
              <w:bottom w:val="single" w:color="auto" w:sz="4" w:space="0"/>
              <w:right w:val="single" w:color="auto" w:sz="4" w:space="0"/>
            </w:tcBorders>
            <w:vAlign w:val="center"/>
          </w:tcPr>
          <w:p w14:paraId="3F79FA2F">
            <w:pPr>
              <w:snapToGrid w:val="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有管理保安队伍的经历和经验，配合项目经理工作，负责保安队日常工作落实，协助学校处理突发事件，男性，具备中级保安证（四级）。</w:t>
            </w:r>
          </w:p>
        </w:tc>
      </w:tr>
      <w:tr w14:paraId="07BF3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1695" w:type="dxa"/>
            <w:tcBorders>
              <w:top w:val="single" w:color="auto" w:sz="4" w:space="0"/>
              <w:left w:val="single" w:color="auto" w:sz="4" w:space="0"/>
              <w:bottom w:val="single" w:color="auto" w:sz="4" w:space="0"/>
              <w:right w:val="single" w:color="auto" w:sz="4" w:space="0"/>
            </w:tcBorders>
            <w:vAlign w:val="center"/>
          </w:tcPr>
          <w:p w14:paraId="4DA7B70D">
            <w:pPr>
              <w:snapToGrid w:val="0"/>
              <w:jc w:val="center"/>
              <w:rPr>
                <w:rFonts w:ascii="宋体" w:hAnsi="宋体" w:cs="仿宋_GB2312"/>
                <w:i w:val="0"/>
                <w:iCs w:val="0"/>
                <w:color w:val="auto"/>
                <w:kern w:val="2"/>
                <w:sz w:val="24"/>
                <w:szCs w:val="24"/>
                <w:highlight w:val="none"/>
                <w:u w:val="none"/>
              </w:rPr>
            </w:pPr>
            <w:bookmarkStart w:id="10" w:name="OLE_LINK18"/>
            <w:r>
              <w:rPr>
                <w:rFonts w:hint="eastAsia" w:ascii="宋体" w:hAnsi="宋体" w:cs="仿宋_GB2312"/>
                <w:i w:val="0"/>
                <w:iCs w:val="0"/>
                <w:color w:val="auto"/>
                <w:kern w:val="2"/>
                <w:sz w:val="24"/>
                <w:szCs w:val="24"/>
                <w:highlight w:val="none"/>
                <w:u w:val="none"/>
              </w:rPr>
              <w:t>文员</w:t>
            </w:r>
            <w:bookmarkEnd w:id="10"/>
          </w:p>
        </w:tc>
        <w:tc>
          <w:tcPr>
            <w:tcW w:w="992" w:type="dxa"/>
            <w:tcBorders>
              <w:top w:val="single" w:color="auto" w:sz="4" w:space="0"/>
              <w:left w:val="single" w:color="auto" w:sz="4" w:space="0"/>
              <w:bottom w:val="single" w:color="auto" w:sz="4" w:space="0"/>
              <w:right w:val="single" w:color="auto" w:sz="4" w:space="0"/>
            </w:tcBorders>
            <w:vAlign w:val="center"/>
          </w:tcPr>
          <w:p w14:paraId="36265D84">
            <w:pPr>
              <w:snapToGrid w:val="0"/>
              <w:jc w:val="center"/>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1</w:t>
            </w:r>
          </w:p>
        </w:tc>
        <w:tc>
          <w:tcPr>
            <w:tcW w:w="6520" w:type="dxa"/>
            <w:tcBorders>
              <w:top w:val="single" w:color="auto" w:sz="4" w:space="0"/>
              <w:left w:val="single" w:color="auto" w:sz="4" w:space="0"/>
              <w:bottom w:val="single" w:color="auto" w:sz="4" w:space="0"/>
              <w:right w:val="single" w:color="auto" w:sz="4" w:space="0"/>
            </w:tcBorders>
            <w:vAlign w:val="center"/>
          </w:tcPr>
          <w:p w14:paraId="78DE6B17">
            <w:pPr>
              <w:snapToGrid w:val="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大专以上文凭，可以熟练使用计算机办公，身体健康，工作认真负责，体貌端正，吃苦耐劳，仔细心细，服务态度好，待人接物热情周到，具备台账整理经验。</w:t>
            </w:r>
          </w:p>
        </w:tc>
      </w:tr>
      <w:tr w14:paraId="695C1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jc w:val="center"/>
        </w:trPr>
        <w:tc>
          <w:tcPr>
            <w:tcW w:w="1695" w:type="dxa"/>
            <w:tcBorders>
              <w:top w:val="single" w:color="auto" w:sz="4" w:space="0"/>
              <w:left w:val="single" w:color="auto" w:sz="4" w:space="0"/>
              <w:bottom w:val="single" w:color="auto" w:sz="4" w:space="0"/>
              <w:right w:val="single" w:color="auto" w:sz="4" w:space="0"/>
            </w:tcBorders>
            <w:vAlign w:val="center"/>
          </w:tcPr>
          <w:p w14:paraId="4EDCECF9">
            <w:pPr>
              <w:snapToGrid w:val="0"/>
              <w:jc w:val="center"/>
              <w:rPr>
                <w:rFonts w:ascii="宋体" w:hAnsi="宋体" w:cs="仿宋_GB2312"/>
                <w:i w:val="0"/>
                <w:iCs w:val="0"/>
                <w:color w:val="auto"/>
                <w:kern w:val="2"/>
                <w:sz w:val="24"/>
                <w:szCs w:val="24"/>
                <w:highlight w:val="none"/>
                <w:u w:val="none"/>
              </w:rPr>
            </w:pPr>
            <w:bookmarkStart w:id="11" w:name="OLE_LINK19"/>
            <w:r>
              <w:rPr>
                <w:rFonts w:hint="eastAsia" w:ascii="宋体" w:hAnsi="宋体" w:cs="仿宋_GB2312"/>
                <w:i w:val="0"/>
                <w:iCs w:val="0"/>
                <w:color w:val="auto"/>
                <w:kern w:val="2"/>
                <w:sz w:val="24"/>
                <w:szCs w:val="24"/>
                <w:highlight w:val="none"/>
                <w:u w:val="none"/>
              </w:rPr>
              <w:t>苍梧路正门门卫日常管理</w:t>
            </w:r>
          </w:p>
          <w:p w14:paraId="0C7BEA1F">
            <w:pPr>
              <w:snapToGrid w:val="0"/>
              <w:jc w:val="center"/>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(1号门)</w:t>
            </w:r>
            <w:bookmarkEnd w:id="11"/>
          </w:p>
        </w:tc>
        <w:tc>
          <w:tcPr>
            <w:tcW w:w="992" w:type="dxa"/>
            <w:tcBorders>
              <w:top w:val="single" w:color="auto" w:sz="4" w:space="0"/>
              <w:left w:val="single" w:color="auto" w:sz="4" w:space="0"/>
              <w:bottom w:val="single" w:color="auto" w:sz="4" w:space="0"/>
              <w:right w:val="single" w:color="auto" w:sz="4" w:space="0"/>
            </w:tcBorders>
            <w:vAlign w:val="center"/>
          </w:tcPr>
          <w:p w14:paraId="08D15CB0">
            <w:pPr>
              <w:snapToGrid w:val="0"/>
              <w:jc w:val="center"/>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6</w:t>
            </w:r>
          </w:p>
        </w:tc>
        <w:tc>
          <w:tcPr>
            <w:tcW w:w="6520" w:type="dxa"/>
            <w:tcBorders>
              <w:top w:val="single" w:color="auto" w:sz="4" w:space="0"/>
              <w:left w:val="single" w:color="auto" w:sz="4" w:space="0"/>
              <w:bottom w:val="single" w:color="auto" w:sz="4" w:space="0"/>
              <w:right w:val="single" w:color="auto" w:sz="4" w:space="0"/>
            </w:tcBorders>
            <w:vAlign w:val="center"/>
          </w:tcPr>
          <w:p w14:paraId="62DD92F8">
            <w:pPr>
              <w:snapToGrid w:val="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男性，持有保安员证。24小时有符合值班要求的人员值班。</w:t>
            </w:r>
          </w:p>
        </w:tc>
      </w:tr>
      <w:tr w14:paraId="71348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695" w:type="dxa"/>
            <w:tcBorders>
              <w:top w:val="single" w:color="auto" w:sz="4" w:space="0"/>
              <w:left w:val="single" w:color="auto" w:sz="4" w:space="0"/>
              <w:bottom w:val="single" w:color="auto" w:sz="4" w:space="0"/>
              <w:right w:val="single" w:color="auto" w:sz="4" w:space="0"/>
            </w:tcBorders>
            <w:vAlign w:val="center"/>
          </w:tcPr>
          <w:p w14:paraId="0CAECE91">
            <w:pPr>
              <w:snapToGrid w:val="0"/>
              <w:jc w:val="center"/>
              <w:rPr>
                <w:rFonts w:ascii="宋体" w:hAnsi="宋体" w:cs="仿宋_GB2312"/>
                <w:i w:val="0"/>
                <w:iCs w:val="0"/>
                <w:color w:val="auto"/>
                <w:kern w:val="2"/>
                <w:sz w:val="24"/>
                <w:szCs w:val="24"/>
                <w:highlight w:val="none"/>
                <w:u w:val="none"/>
              </w:rPr>
            </w:pPr>
            <w:bookmarkStart w:id="12" w:name="OLE_LINK20"/>
            <w:r>
              <w:rPr>
                <w:rFonts w:hint="eastAsia" w:ascii="宋体" w:hAnsi="宋体" w:cs="仿宋_GB2312"/>
                <w:i w:val="0"/>
                <w:iCs w:val="0"/>
                <w:color w:val="auto"/>
                <w:kern w:val="2"/>
                <w:sz w:val="24"/>
                <w:szCs w:val="24"/>
                <w:highlight w:val="none"/>
                <w:u w:val="none"/>
              </w:rPr>
              <w:t>苍梧路西门门卫日常管理</w:t>
            </w:r>
          </w:p>
          <w:p w14:paraId="29374D98">
            <w:pPr>
              <w:snapToGrid w:val="0"/>
              <w:jc w:val="center"/>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（2号门）</w:t>
            </w:r>
            <w:bookmarkEnd w:id="12"/>
          </w:p>
        </w:tc>
        <w:tc>
          <w:tcPr>
            <w:tcW w:w="992" w:type="dxa"/>
            <w:tcBorders>
              <w:top w:val="single" w:color="auto" w:sz="4" w:space="0"/>
              <w:left w:val="single" w:color="auto" w:sz="4" w:space="0"/>
              <w:bottom w:val="single" w:color="auto" w:sz="4" w:space="0"/>
              <w:right w:val="single" w:color="auto" w:sz="4" w:space="0"/>
            </w:tcBorders>
            <w:vAlign w:val="center"/>
          </w:tcPr>
          <w:p w14:paraId="49A88D8B">
            <w:pPr>
              <w:snapToGrid w:val="0"/>
              <w:jc w:val="center"/>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9</w:t>
            </w:r>
          </w:p>
        </w:tc>
        <w:tc>
          <w:tcPr>
            <w:tcW w:w="6520" w:type="dxa"/>
            <w:tcBorders>
              <w:top w:val="single" w:color="auto" w:sz="4" w:space="0"/>
              <w:left w:val="single" w:color="auto" w:sz="4" w:space="0"/>
              <w:bottom w:val="single" w:color="auto" w:sz="4" w:space="0"/>
              <w:right w:val="single" w:color="auto" w:sz="4" w:space="0"/>
            </w:tcBorders>
            <w:vAlign w:val="center"/>
          </w:tcPr>
          <w:p w14:paraId="624AF8B7">
            <w:pPr>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男性，持有保安员证。24小时有符合值班要求的人员值班。</w:t>
            </w:r>
          </w:p>
        </w:tc>
      </w:tr>
      <w:tr w14:paraId="66E1F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jc w:val="center"/>
        </w:trPr>
        <w:tc>
          <w:tcPr>
            <w:tcW w:w="1695" w:type="dxa"/>
            <w:tcBorders>
              <w:top w:val="single" w:color="auto" w:sz="4" w:space="0"/>
              <w:left w:val="single" w:color="auto" w:sz="4" w:space="0"/>
              <w:bottom w:val="single" w:color="auto" w:sz="4" w:space="0"/>
              <w:right w:val="single" w:color="auto" w:sz="4" w:space="0"/>
            </w:tcBorders>
            <w:vAlign w:val="center"/>
          </w:tcPr>
          <w:p w14:paraId="0668A409">
            <w:pPr>
              <w:snapToGrid w:val="0"/>
              <w:jc w:val="center"/>
              <w:rPr>
                <w:rFonts w:ascii="宋体" w:hAnsi="宋体" w:cs="仿宋_GB2312"/>
                <w:i w:val="0"/>
                <w:iCs w:val="0"/>
                <w:color w:val="auto"/>
                <w:kern w:val="2"/>
                <w:sz w:val="24"/>
                <w:szCs w:val="24"/>
                <w:highlight w:val="none"/>
                <w:u w:val="none"/>
              </w:rPr>
            </w:pPr>
            <w:bookmarkStart w:id="13" w:name="OLE_LINK21"/>
            <w:r>
              <w:rPr>
                <w:rFonts w:hint="eastAsia" w:ascii="宋体" w:hAnsi="宋体" w:cs="仿宋_GB2312"/>
                <w:i w:val="0"/>
                <w:iCs w:val="0"/>
                <w:color w:val="auto"/>
                <w:kern w:val="2"/>
                <w:sz w:val="24"/>
                <w:szCs w:val="24"/>
                <w:highlight w:val="none"/>
                <w:u w:val="none"/>
              </w:rPr>
              <w:t>学院路东门门卫日常管理</w:t>
            </w:r>
          </w:p>
          <w:p w14:paraId="77699F65">
            <w:pPr>
              <w:snapToGrid w:val="0"/>
              <w:jc w:val="center"/>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（3号门）</w:t>
            </w:r>
            <w:bookmarkEnd w:id="13"/>
          </w:p>
        </w:tc>
        <w:tc>
          <w:tcPr>
            <w:tcW w:w="992" w:type="dxa"/>
            <w:tcBorders>
              <w:top w:val="single" w:color="auto" w:sz="4" w:space="0"/>
              <w:left w:val="single" w:color="auto" w:sz="4" w:space="0"/>
              <w:bottom w:val="single" w:color="auto" w:sz="4" w:space="0"/>
              <w:right w:val="single" w:color="auto" w:sz="4" w:space="0"/>
            </w:tcBorders>
            <w:vAlign w:val="center"/>
          </w:tcPr>
          <w:p w14:paraId="2A14D363">
            <w:pPr>
              <w:snapToGrid w:val="0"/>
              <w:jc w:val="center"/>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8</w:t>
            </w:r>
          </w:p>
        </w:tc>
        <w:tc>
          <w:tcPr>
            <w:tcW w:w="6520" w:type="dxa"/>
            <w:tcBorders>
              <w:top w:val="single" w:color="auto" w:sz="4" w:space="0"/>
              <w:left w:val="single" w:color="auto" w:sz="4" w:space="0"/>
              <w:bottom w:val="single" w:color="auto" w:sz="4" w:space="0"/>
              <w:right w:val="single" w:color="auto" w:sz="4" w:space="0"/>
            </w:tcBorders>
            <w:vAlign w:val="center"/>
          </w:tcPr>
          <w:p w14:paraId="7BFE53CE">
            <w:pPr>
              <w:snapToGrid w:val="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男性，持有保安员证。24小时有符合值班要求的人员值班。</w:t>
            </w:r>
          </w:p>
        </w:tc>
      </w:tr>
      <w:tr w14:paraId="7433C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jc w:val="center"/>
        </w:trPr>
        <w:tc>
          <w:tcPr>
            <w:tcW w:w="1695" w:type="dxa"/>
            <w:tcBorders>
              <w:top w:val="single" w:color="auto" w:sz="4" w:space="0"/>
              <w:left w:val="single" w:color="auto" w:sz="4" w:space="0"/>
              <w:bottom w:val="single" w:color="auto" w:sz="4" w:space="0"/>
              <w:right w:val="single" w:color="auto" w:sz="4" w:space="0"/>
            </w:tcBorders>
            <w:vAlign w:val="center"/>
          </w:tcPr>
          <w:p w14:paraId="054E3F25">
            <w:pPr>
              <w:snapToGrid w:val="0"/>
              <w:jc w:val="center"/>
              <w:rPr>
                <w:rFonts w:ascii="宋体" w:hAnsi="宋体" w:cs="仿宋_GB2312"/>
                <w:i w:val="0"/>
                <w:iCs w:val="0"/>
                <w:color w:val="auto"/>
                <w:kern w:val="2"/>
                <w:sz w:val="24"/>
                <w:szCs w:val="24"/>
                <w:highlight w:val="none"/>
                <w:u w:val="none"/>
              </w:rPr>
            </w:pPr>
            <w:bookmarkStart w:id="14" w:name="OLE_LINK22"/>
            <w:r>
              <w:rPr>
                <w:rFonts w:hint="eastAsia" w:ascii="宋体" w:hAnsi="宋体" w:cs="仿宋_GB2312"/>
                <w:i w:val="0"/>
                <w:iCs w:val="0"/>
                <w:color w:val="auto"/>
                <w:kern w:val="2"/>
                <w:sz w:val="24"/>
                <w:szCs w:val="24"/>
                <w:highlight w:val="none"/>
                <w:u w:val="none"/>
              </w:rPr>
              <w:t>东区学院路大门门卫日常管理（4号门）</w:t>
            </w:r>
            <w:bookmarkEnd w:id="14"/>
          </w:p>
        </w:tc>
        <w:tc>
          <w:tcPr>
            <w:tcW w:w="992" w:type="dxa"/>
            <w:tcBorders>
              <w:top w:val="single" w:color="auto" w:sz="4" w:space="0"/>
              <w:left w:val="single" w:color="auto" w:sz="4" w:space="0"/>
              <w:bottom w:val="single" w:color="auto" w:sz="4" w:space="0"/>
              <w:right w:val="single" w:color="auto" w:sz="4" w:space="0"/>
            </w:tcBorders>
            <w:vAlign w:val="center"/>
          </w:tcPr>
          <w:p w14:paraId="25D91542">
            <w:pPr>
              <w:snapToGrid w:val="0"/>
              <w:jc w:val="center"/>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6</w:t>
            </w:r>
          </w:p>
        </w:tc>
        <w:tc>
          <w:tcPr>
            <w:tcW w:w="6520" w:type="dxa"/>
            <w:tcBorders>
              <w:top w:val="single" w:color="auto" w:sz="4" w:space="0"/>
              <w:left w:val="single" w:color="auto" w:sz="4" w:space="0"/>
              <w:bottom w:val="single" w:color="auto" w:sz="4" w:space="0"/>
              <w:right w:val="single" w:color="auto" w:sz="4" w:space="0"/>
            </w:tcBorders>
            <w:vAlign w:val="center"/>
          </w:tcPr>
          <w:p w14:paraId="14113BE7">
            <w:pPr>
              <w:snapToGrid w:val="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男性，持有保安员证。24小时有符合值班要求的人员值班。</w:t>
            </w:r>
          </w:p>
        </w:tc>
      </w:tr>
      <w:tr w14:paraId="5A40E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1695" w:type="dxa"/>
            <w:tcBorders>
              <w:top w:val="single" w:color="auto" w:sz="4" w:space="0"/>
              <w:left w:val="single" w:color="auto" w:sz="4" w:space="0"/>
              <w:bottom w:val="single" w:color="auto" w:sz="4" w:space="0"/>
              <w:right w:val="single" w:color="auto" w:sz="4" w:space="0"/>
            </w:tcBorders>
            <w:vAlign w:val="center"/>
          </w:tcPr>
          <w:p w14:paraId="013A8AED">
            <w:pPr>
              <w:snapToGrid w:val="0"/>
              <w:jc w:val="center"/>
              <w:rPr>
                <w:rFonts w:ascii="宋体" w:hAnsi="宋体" w:cs="仿宋_GB2312"/>
                <w:i w:val="0"/>
                <w:iCs w:val="0"/>
                <w:color w:val="auto"/>
                <w:kern w:val="2"/>
                <w:sz w:val="24"/>
                <w:szCs w:val="24"/>
                <w:highlight w:val="none"/>
                <w:u w:val="none"/>
              </w:rPr>
            </w:pPr>
            <w:bookmarkStart w:id="15" w:name="OLE_LINK23"/>
            <w:r>
              <w:rPr>
                <w:rFonts w:hint="eastAsia" w:ascii="宋体" w:hAnsi="宋体" w:cs="仿宋_GB2312"/>
                <w:i w:val="0"/>
                <w:iCs w:val="0"/>
                <w:color w:val="auto"/>
                <w:kern w:val="2"/>
                <w:sz w:val="24"/>
                <w:szCs w:val="24"/>
                <w:highlight w:val="none"/>
                <w:u w:val="none"/>
              </w:rPr>
              <w:t>校园安全巡逻</w:t>
            </w:r>
            <w:bookmarkEnd w:id="15"/>
          </w:p>
        </w:tc>
        <w:tc>
          <w:tcPr>
            <w:tcW w:w="992" w:type="dxa"/>
            <w:tcBorders>
              <w:top w:val="single" w:color="auto" w:sz="4" w:space="0"/>
              <w:left w:val="single" w:color="auto" w:sz="4" w:space="0"/>
              <w:bottom w:val="single" w:color="auto" w:sz="4" w:space="0"/>
              <w:right w:val="single" w:color="auto" w:sz="4" w:space="0"/>
            </w:tcBorders>
            <w:vAlign w:val="center"/>
          </w:tcPr>
          <w:p w14:paraId="3DF05F45">
            <w:pPr>
              <w:snapToGrid w:val="0"/>
              <w:jc w:val="center"/>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11</w:t>
            </w:r>
          </w:p>
        </w:tc>
        <w:tc>
          <w:tcPr>
            <w:tcW w:w="6520" w:type="dxa"/>
            <w:tcBorders>
              <w:top w:val="single" w:color="auto" w:sz="4" w:space="0"/>
              <w:left w:val="single" w:color="auto" w:sz="4" w:space="0"/>
              <w:bottom w:val="single" w:color="auto" w:sz="4" w:space="0"/>
              <w:right w:val="single" w:color="auto" w:sz="4" w:space="0"/>
            </w:tcBorders>
            <w:vAlign w:val="center"/>
          </w:tcPr>
          <w:p w14:paraId="4983A43F">
            <w:pPr>
              <w:snapToGrid w:val="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男性，持有保安员证。24小时有符合值班要求的人员值班，（夜间不得间断）。每班至少有一人可以熟练驾驶校内电动巡逻车或消防车处置突发事件。</w:t>
            </w:r>
          </w:p>
        </w:tc>
      </w:tr>
      <w:tr w14:paraId="2EBBF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1695" w:type="dxa"/>
            <w:tcBorders>
              <w:top w:val="single" w:color="auto" w:sz="4" w:space="0"/>
              <w:left w:val="single" w:color="auto" w:sz="4" w:space="0"/>
              <w:bottom w:val="single" w:color="auto" w:sz="4" w:space="0"/>
              <w:right w:val="single" w:color="auto" w:sz="4" w:space="0"/>
            </w:tcBorders>
            <w:vAlign w:val="center"/>
          </w:tcPr>
          <w:p w14:paraId="06626F19">
            <w:pPr>
              <w:snapToGrid w:val="0"/>
              <w:jc w:val="center"/>
              <w:rPr>
                <w:rFonts w:ascii="宋体" w:hAnsi="宋体" w:cs="仿宋_GB2312"/>
                <w:i w:val="0"/>
                <w:iCs w:val="0"/>
                <w:color w:val="auto"/>
                <w:kern w:val="2"/>
                <w:sz w:val="24"/>
                <w:szCs w:val="24"/>
                <w:highlight w:val="none"/>
                <w:u w:val="none"/>
              </w:rPr>
            </w:pPr>
            <w:bookmarkStart w:id="16" w:name="OLE_LINK24"/>
            <w:r>
              <w:rPr>
                <w:rFonts w:hint="eastAsia" w:ascii="宋体" w:hAnsi="宋体" w:cs="仿宋_GB2312"/>
                <w:i w:val="0"/>
                <w:iCs w:val="0"/>
                <w:color w:val="auto"/>
                <w:kern w:val="2"/>
                <w:sz w:val="24"/>
                <w:szCs w:val="24"/>
                <w:highlight w:val="none"/>
                <w:u w:val="none"/>
              </w:rPr>
              <w:t>监控指挥中心值班</w:t>
            </w:r>
            <w:bookmarkEnd w:id="16"/>
          </w:p>
        </w:tc>
        <w:tc>
          <w:tcPr>
            <w:tcW w:w="992" w:type="dxa"/>
            <w:tcBorders>
              <w:top w:val="single" w:color="auto" w:sz="4" w:space="0"/>
              <w:left w:val="single" w:color="auto" w:sz="4" w:space="0"/>
              <w:bottom w:val="single" w:color="auto" w:sz="4" w:space="0"/>
              <w:right w:val="single" w:color="auto" w:sz="4" w:space="0"/>
            </w:tcBorders>
            <w:vAlign w:val="center"/>
          </w:tcPr>
          <w:p w14:paraId="094CCE07">
            <w:pPr>
              <w:snapToGrid w:val="0"/>
              <w:jc w:val="center"/>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4</w:t>
            </w:r>
          </w:p>
        </w:tc>
        <w:tc>
          <w:tcPr>
            <w:tcW w:w="6520" w:type="dxa"/>
            <w:tcBorders>
              <w:top w:val="single" w:color="auto" w:sz="4" w:space="0"/>
              <w:left w:val="single" w:color="auto" w:sz="4" w:space="0"/>
              <w:bottom w:val="single" w:color="auto" w:sz="4" w:space="0"/>
              <w:right w:val="single" w:color="auto" w:sz="4" w:space="0"/>
            </w:tcBorders>
            <w:vAlign w:val="center"/>
          </w:tcPr>
          <w:p w14:paraId="6288A201">
            <w:pPr>
              <w:snapToGrid w:val="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男性，持有保安员证。可以熟练使用计算机办公，24小时有符合值班要求的人员值班，全程带人进出监控室。</w:t>
            </w:r>
          </w:p>
        </w:tc>
      </w:tr>
      <w:tr w14:paraId="604A5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1695" w:type="dxa"/>
            <w:tcBorders>
              <w:top w:val="single" w:color="auto" w:sz="4" w:space="0"/>
              <w:left w:val="single" w:color="auto" w:sz="4" w:space="0"/>
              <w:bottom w:val="single" w:color="auto" w:sz="4" w:space="0"/>
              <w:right w:val="single" w:color="auto" w:sz="4" w:space="0"/>
            </w:tcBorders>
            <w:vAlign w:val="center"/>
          </w:tcPr>
          <w:p w14:paraId="7C91364D">
            <w:pPr>
              <w:snapToGrid w:val="0"/>
              <w:jc w:val="center"/>
              <w:rPr>
                <w:rFonts w:ascii="宋体" w:hAnsi="宋体" w:cs="仿宋_GB2312"/>
                <w:i w:val="0"/>
                <w:iCs w:val="0"/>
                <w:color w:val="auto"/>
                <w:kern w:val="2"/>
                <w:sz w:val="24"/>
                <w:szCs w:val="24"/>
                <w:highlight w:val="none"/>
                <w:u w:val="none"/>
              </w:rPr>
            </w:pPr>
            <w:bookmarkStart w:id="17" w:name="OLE_LINK25"/>
            <w:r>
              <w:rPr>
                <w:rFonts w:hint="eastAsia" w:ascii="宋体" w:hAnsi="宋体" w:cs="仿宋_GB2312"/>
                <w:i w:val="0"/>
                <w:iCs w:val="0"/>
                <w:color w:val="auto"/>
                <w:kern w:val="2"/>
                <w:sz w:val="24"/>
                <w:szCs w:val="24"/>
                <w:highlight w:val="none"/>
                <w:u w:val="none"/>
              </w:rPr>
              <w:t>行政楼内及门前安全值守</w:t>
            </w:r>
            <w:bookmarkEnd w:id="17"/>
          </w:p>
        </w:tc>
        <w:tc>
          <w:tcPr>
            <w:tcW w:w="992" w:type="dxa"/>
            <w:tcBorders>
              <w:top w:val="single" w:color="auto" w:sz="4" w:space="0"/>
              <w:left w:val="single" w:color="auto" w:sz="4" w:space="0"/>
              <w:bottom w:val="single" w:color="auto" w:sz="4" w:space="0"/>
              <w:right w:val="single" w:color="auto" w:sz="4" w:space="0"/>
            </w:tcBorders>
            <w:vAlign w:val="center"/>
          </w:tcPr>
          <w:p w14:paraId="69DD3223">
            <w:pPr>
              <w:snapToGrid w:val="0"/>
              <w:jc w:val="center"/>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w:t>
            </w:r>
          </w:p>
        </w:tc>
        <w:tc>
          <w:tcPr>
            <w:tcW w:w="6520" w:type="dxa"/>
            <w:tcBorders>
              <w:top w:val="single" w:color="auto" w:sz="4" w:space="0"/>
              <w:left w:val="single" w:color="auto" w:sz="4" w:space="0"/>
              <w:bottom w:val="single" w:color="auto" w:sz="4" w:space="0"/>
              <w:right w:val="single" w:color="auto" w:sz="4" w:space="0"/>
            </w:tcBorders>
            <w:vAlign w:val="center"/>
          </w:tcPr>
          <w:p w14:paraId="65D966D1">
            <w:pPr>
              <w:snapToGrid w:val="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男性2名，女性1名持有保安员证，24小时有有符合值班要求的人员在岗。</w:t>
            </w:r>
          </w:p>
        </w:tc>
      </w:tr>
      <w:tr w14:paraId="60395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95" w:type="dxa"/>
            <w:tcBorders>
              <w:top w:val="single" w:color="auto" w:sz="4" w:space="0"/>
              <w:left w:val="single" w:color="auto" w:sz="4" w:space="0"/>
              <w:bottom w:val="single" w:color="auto" w:sz="4" w:space="0"/>
              <w:right w:val="single" w:color="auto" w:sz="4" w:space="0"/>
            </w:tcBorders>
            <w:vAlign w:val="center"/>
          </w:tcPr>
          <w:p w14:paraId="1E9ED773">
            <w:pPr>
              <w:snapToGrid w:val="0"/>
              <w:jc w:val="center"/>
              <w:rPr>
                <w:rFonts w:ascii="宋体" w:hAnsi="宋体" w:cs="仿宋_GB2312"/>
                <w:i w:val="0"/>
                <w:iCs w:val="0"/>
                <w:color w:val="auto"/>
                <w:kern w:val="2"/>
                <w:sz w:val="24"/>
                <w:szCs w:val="24"/>
                <w:highlight w:val="none"/>
                <w:u w:val="none"/>
              </w:rPr>
            </w:pPr>
            <w:bookmarkStart w:id="18" w:name="OLE_LINK26"/>
            <w:r>
              <w:rPr>
                <w:rFonts w:hint="eastAsia" w:ascii="宋体" w:hAnsi="宋体" w:cs="仿宋_GB2312"/>
                <w:i w:val="0"/>
                <w:iCs w:val="0"/>
                <w:color w:val="auto"/>
                <w:kern w:val="2"/>
                <w:sz w:val="24"/>
                <w:szCs w:val="24"/>
                <w:highlight w:val="none"/>
                <w:u w:val="none"/>
              </w:rPr>
              <w:t>消防控制室值班</w:t>
            </w:r>
            <w:bookmarkEnd w:id="18"/>
          </w:p>
        </w:tc>
        <w:tc>
          <w:tcPr>
            <w:tcW w:w="992" w:type="dxa"/>
            <w:tcBorders>
              <w:top w:val="single" w:color="auto" w:sz="4" w:space="0"/>
              <w:left w:val="single" w:color="auto" w:sz="4" w:space="0"/>
              <w:bottom w:val="single" w:color="auto" w:sz="4" w:space="0"/>
              <w:right w:val="single" w:color="auto" w:sz="4" w:space="0"/>
            </w:tcBorders>
            <w:vAlign w:val="center"/>
          </w:tcPr>
          <w:p w14:paraId="4EBC1A83">
            <w:pPr>
              <w:snapToGrid w:val="0"/>
              <w:jc w:val="center"/>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4</w:t>
            </w:r>
          </w:p>
        </w:tc>
        <w:tc>
          <w:tcPr>
            <w:tcW w:w="6520" w:type="dxa"/>
            <w:tcBorders>
              <w:top w:val="single" w:color="auto" w:sz="4" w:space="0"/>
              <w:left w:val="single" w:color="auto" w:sz="4" w:space="0"/>
              <w:bottom w:val="single" w:color="auto" w:sz="4" w:space="0"/>
              <w:right w:val="single" w:color="auto" w:sz="4" w:space="0"/>
            </w:tcBorders>
            <w:vAlign w:val="center"/>
          </w:tcPr>
          <w:p w14:paraId="2151F539">
            <w:pPr>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男性，具备消防设施操作员四级（中级），能熟练操作消防自动化系统。24小时有符合值班要求的人员在岗。</w:t>
            </w:r>
          </w:p>
        </w:tc>
      </w:tr>
      <w:tr w14:paraId="18E0B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695" w:type="dxa"/>
            <w:tcBorders>
              <w:top w:val="single" w:color="auto" w:sz="4" w:space="0"/>
              <w:left w:val="single" w:color="auto" w:sz="4" w:space="0"/>
              <w:bottom w:val="single" w:color="auto" w:sz="4" w:space="0"/>
              <w:right w:val="single" w:color="auto" w:sz="4" w:space="0"/>
            </w:tcBorders>
            <w:vAlign w:val="center"/>
          </w:tcPr>
          <w:p w14:paraId="131F32E0">
            <w:pPr>
              <w:snapToGrid w:val="0"/>
              <w:jc w:val="center"/>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合计</w:t>
            </w:r>
          </w:p>
        </w:tc>
        <w:tc>
          <w:tcPr>
            <w:tcW w:w="992" w:type="dxa"/>
            <w:tcBorders>
              <w:top w:val="single" w:color="auto" w:sz="4" w:space="0"/>
              <w:left w:val="single" w:color="auto" w:sz="4" w:space="0"/>
              <w:bottom w:val="single" w:color="auto" w:sz="4" w:space="0"/>
              <w:right w:val="single" w:color="auto" w:sz="4" w:space="0"/>
            </w:tcBorders>
            <w:vAlign w:val="center"/>
          </w:tcPr>
          <w:p w14:paraId="2EEF63D6">
            <w:pPr>
              <w:snapToGrid w:val="0"/>
              <w:jc w:val="center"/>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56</w:t>
            </w:r>
          </w:p>
        </w:tc>
        <w:tc>
          <w:tcPr>
            <w:tcW w:w="6520" w:type="dxa"/>
            <w:tcBorders>
              <w:top w:val="single" w:color="auto" w:sz="4" w:space="0"/>
              <w:left w:val="single" w:color="auto" w:sz="4" w:space="0"/>
              <w:bottom w:val="single" w:color="auto" w:sz="4" w:space="0"/>
              <w:right w:val="single" w:color="auto" w:sz="4" w:space="0"/>
            </w:tcBorders>
            <w:vAlign w:val="center"/>
          </w:tcPr>
          <w:p w14:paraId="30D5E5E1">
            <w:pPr>
              <w:snapToGrid w:val="0"/>
              <w:rPr>
                <w:rFonts w:ascii="宋体" w:hAnsi="宋体" w:cs="仿宋_GB2312"/>
                <w:i w:val="0"/>
                <w:iCs w:val="0"/>
                <w:color w:val="auto"/>
                <w:kern w:val="2"/>
                <w:sz w:val="24"/>
                <w:szCs w:val="24"/>
                <w:highlight w:val="none"/>
                <w:u w:val="none"/>
              </w:rPr>
            </w:pPr>
          </w:p>
        </w:tc>
      </w:tr>
    </w:tbl>
    <w:p w14:paraId="0050A80E">
      <w:pPr>
        <w:spacing w:line="360" w:lineRule="auto"/>
        <w:ind w:firstLine="480" w:firstLineChars="200"/>
        <w:rPr>
          <w:rFonts w:ascii="宋体" w:hAnsi="宋体"/>
          <w:i w:val="0"/>
          <w:iCs w:val="0"/>
          <w:color w:val="auto"/>
          <w:sz w:val="24"/>
          <w:szCs w:val="24"/>
          <w:highlight w:val="none"/>
          <w:u w:val="none"/>
        </w:rPr>
      </w:pPr>
      <w:r>
        <w:rPr>
          <w:rFonts w:hint="eastAsia" w:ascii="宋体" w:hAnsi="宋体" w:cs="宋体"/>
          <w:i w:val="0"/>
          <w:iCs w:val="0"/>
          <w:color w:val="auto"/>
          <w:kern w:val="2"/>
          <w:sz w:val="24"/>
          <w:szCs w:val="24"/>
          <w:highlight w:val="none"/>
          <w:u w:val="none"/>
        </w:rPr>
        <w:t>注：</w:t>
      </w:r>
      <w:r>
        <w:rPr>
          <w:rFonts w:hint="eastAsia" w:ascii="宋体" w:hAnsi="宋体" w:cs="宋体"/>
          <w:b/>
          <w:bCs/>
          <w:i w:val="0"/>
          <w:iCs w:val="0"/>
          <w:color w:val="auto"/>
          <w:kern w:val="2"/>
          <w:sz w:val="24"/>
          <w:szCs w:val="24"/>
          <w:highlight w:val="none"/>
          <w:u w:val="none"/>
        </w:rPr>
        <w:t>1.</w:t>
      </w:r>
      <w:bookmarkStart w:id="19" w:name="OLE_LINK28"/>
      <w:r>
        <w:rPr>
          <w:rFonts w:hint="eastAsia" w:ascii="宋体" w:hAnsi="宋体"/>
          <w:b/>
          <w:bCs/>
          <w:i w:val="0"/>
          <w:iCs w:val="0"/>
          <w:color w:val="auto"/>
          <w:kern w:val="2"/>
          <w:sz w:val="24"/>
          <w:szCs w:val="24"/>
          <w:highlight w:val="none"/>
          <w:u w:val="none"/>
        </w:rPr>
        <w:t>各岗位实际配置</w:t>
      </w:r>
      <w:bookmarkStart w:id="20" w:name="OLE_LINK27"/>
      <w:r>
        <w:rPr>
          <w:rFonts w:hint="eastAsia" w:ascii="宋体" w:hAnsi="宋体"/>
          <w:b/>
          <w:bCs/>
          <w:i w:val="0"/>
          <w:iCs w:val="0"/>
          <w:color w:val="auto"/>
          <w:kern w:val="2"/>
          <w:sz w:val="24"/>
          <w:szCs w:val="24"/>
          <w:highlight w:val="none"/>
          <w:u w:val="none"/>
        </w:rPr>
        <w:t>人数不得</w:t>
      </w:r>
      <w:bookmarkEnd w:id="20"/>
      <w:r>
        <w:rPr>
          <w:rFonts w:hint="eastAsia" w:ascii="宋体" w:hAnsi="宋体"/>
          <w:b/>
          <w:bCs/>
          <w:i w:val="0"/>
          <w:iCs w:val="0"/>
          <w:color w:val="auto"/>
          <w:kern w:val="2"/>
          <w:sz w:val="24"/>
          <w:szCs w:val="24"/>
          <w:highlight w:val="none"/>
          <w:u w:val="none"/>
        </w:rPr>
        <w:t>低于</w:t>
      </w:r>
      <w:r>
        <w:rPr>
          <w:rFonts w:ascii="宋体" w:hAnsi="宋体"/>
          <w:b/>
          <w:bCs/>
          <w:i w:val="0"/>
          <w:iCs w:val="0"/>
          <w:color w:val="auto"/>
          <w:kern w:val="2"/>
          <w:sz w:val="24"/>
          <w:szCs w:val="24"/>
          <w:highlight w:val="none"/>
          <w:u w:val="none"/>
        </w:rPr>
        <w:t>56</w:t>
      </w:r>
      <w:r>
        <w:rPr>
          <w:rFonts w:hint="eastAsia" w:ascii="宋体" w:hAnsi="宋体"/>
          <w:b/>
          <w:bCs/>
          <w:i w:val="0"/>
          <w:iCs w:val="0"/>
          <w:color w:val="auto"/>
          <w:kern w:val="2"/>
          <w:sz w:val="24"/>
          <w:szCs w:val="24"/>
          <w:highlight w:val="none"/>
          <w:u w:val="none"/>
        </w:rPr>
        <w:t>人，其中项目经理1人，保安队长3人，文员1人，苍梧路正门门卫日常管理(1号门)</w:t>
      </w:r>
      <w:r>
        <w:rPr>
          <w:rFonts w:ascii="宋体" w:hAnsi="宋体"/>
          <w:b/>
          <w:bCs/>
          <w:i w:val="0"/>
          <w:iCs w:val="0"/>
          <w:color w:val="auto"/>
          <w:kern w:val="2"/>
          <w:sz w:val="24"/>
          <w:szCs w:val="24"/>
          <w:highlight w:val="none"/>
          <w:u w:val="none"/>
        </w:rPr>
        <w:t>6</w:t>
      </w:r>
      <w:r>
        <w:rPr>
          <w:rFonts w:hint="eastAsia" w:ascii="宋体" w:hAnsi="宋体"/>
          <w:b/>
          <w:bCs/>
          <w:i w:val="0"/>
          <w:iCs w:val="0"/>
          <w:color w:val="auto"/>
          <w:kern w:val="2"/>
          <w:sz w:val="24"/>
          <w:szCs w:val="24"/>
          <w:highlight w:val="none"/>
          <w:u w:val="none"/>
        </w:rPr>
        <w:t>人，苍梧路西门门卫日常管理（2号门）9人，学院路东门门卫日常管理（3号门）8人，东区学院路大门门卫日常管理（4号门）6人，校园安全巡逻1</w:t>
      </w:r>
      <w:r>
        <w:rPr>
          <w:rFonts w:ascii="宋体" w:hAnsi="宋体"/>
          <w:b/>
          <w:bCs/>
          <w:i w:val="0"/>
          <w:iCs w:val="0"/>
          <w:color w:val="auto"/>
          <w:kern w:val="2"/>
          <w:sz w:val="24"/>
          <w:szCs w:val="24"/>
          <w:highlight w:val="none"/>
          <w:u w:val="none"/>
        </w:rPr>
        <w:t>1</w:t>
      </w:r>
      <w:r>
        <w:rPr>
          <w:rFonts w:hint="eastAsia" w:ascii="宋体" w:hAnsi="宋体"/>
          <w:b/>
          <w:bCs/>
          <w:i w:val="0"/>
          <w:iCs w:val="0"/>
          <w:color w:val="auto"/>
          <w:kern w:val="2"/>
          <w:sz w:val="24"/>
          <w:szCs w:val="24"/>
          <w:highlight w:val="none"/>
          <w:u w:val="none"/>
        </w:rPr>
        <w:t>人，监控指挥中心值班4人，行政楼内及门前安全值守3人，消防控制室值班4人。投标人必须书面承诺人员配置要求以及岗位要求，投标文件须提供加盖公章的承诺书(格式自拟)，否则投标无效。</w:t>
      </w:r>
      <w:bookmarkEnd w:id="19"/>
    </w:p>
    <w:p w14:paraId="6531BCB4">
      <w:pPr>
        <w:spacing w:line="360" w:lineRule="auto"/>
        <w:ind w:firstLine="482"/>
        <w:rPr>
          <w:rFonts w:ascii="Times New Roman" w:hAnsi="Times New Roman"/>
          <w:b/>
          <w:i w:val="0"/>
          <w:iCs w:val="0"/>
          <w:color w:val="auto"/>
          <w:sz w:val="24"/>
          <w:szCs w:val="24"/>
          <w:highlight w:val="none"/>
          <w:u w:val="none"/>
        </w:rPr>
      </w:pPr>
      <w:r>
        <w:rPr>
          <w:rFonts w:ascii="Times New Roman" w:hAnsi="Times New Roman"/>
          <w:b/>
          <w:i w:val="0"/>
          <w:iCs w:val="0"/>
          <w:color w:val="auto"/>
          <w:sz w:val="24"/>
          <w:szCs w:val="24"/>
          <w:highlight w:val="none"/>
          <w:u w:val="none"/>
        </w:rPr>
        <w:t>四、服务期限</w:t>
      </w:r>
    </w:p>
    <w:p w14:paraId="40213901">
      <w:pPr>
        <w:spacing w:line="360" w:lineRule="auto"/>
        <w:ind w:firstLine="480"/>
        <w:jc w:val="left"/>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3年，自2026年8月1日起至2029年7月31日止。</w:t>
      </w:r>
    </w:p>
    <w:p w14:paraId="5594BF9E">
      <w:pPr>
        <w:spacing w:line="360" w:lineRule="auto"/>
        <w:ind w:firstLine="482"/>
        <w:rPr>
          <w:rFonts w:ascii="Times New Roman" w:hAnsi="Times New Roman"/>
          <w:i w:val="0"/>
          <w:iCs w:val="0"/>
          <w:color w:val="auto"/>
          <w:sz w:val="24"/>
          <w:szCs w:val="24"/>
          <w:highlight w:val="none"/>
          <w:u w:val="none"/>
        </w:rPr>
      </w:pPr>
      <w:r>
        <w:rPr>
          <w:rFonts w:ascii="Times New Roman" w:hAnsi="Times New Roman"/>
          <w:b/>
          <w:i w:val="0"/>
          <w:iCs w:val="0"/>
          <w:color w:val="auto"/>
          <w:sz w:val="24"/>
          <w:szCs w:val="24"/>
          <w:highlight w:val="none"/>
          <w:u w:val="none"/>
        </w:rPr>
        <w:t>五、服务标准</w:t>
      </w:r>
    </w:p>
    <w:p w14:paraId="4687EB96">
      <w:pPr>
        <w:spacing w:line="360" w:lineRule="auto"/>
        <w:ind w:firstLine="492"/>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按照《江苏海洋大学校园保安服务细则》执行。</w:t>
      </w:r>
    </w:p>
    <w:p w14:paraId="6765B581">
      <w:pPr>
        <w:spacing w:line="360" w:lineRule="auto"/>
        <w:ind w:firstLine="482"/>
        <w:rPr>
          <w:rFonts w:ascii="Times New Roman" w:hAnsi="Times New Roman"/>
          <w:b/>
          <w:i w:val="0"/>
          <w:iCs w:val="0"/>
          <w:color w:val="auto"/>
          <w:sz w:val="24"/>
          <w:szCs w:val="24"/>
          <w:highlight w:val="none"/>
          <w:u w:val="none"/>
        </w:rPr>
      </w:pPr>
      <w:r>
        <w:rPr>
          <w:rFonts w:ascii="Times New Roman" w:hAnsi="Times New Roman"/>
          <w:b/>
          <w:i w:val="0"/>
          <w:iCs w:val="0"/>
          <w:color w:val="auto"/>
          <w:sz w:val="24"/>
          <w:szCs w:val="24"/>
          <w:highlight w:val="none"/>
          <w:u w:val="none"/>
        </w:rPr>
        <w:t>六、培训要求</w:t>
      </w:r>
    </w:p>
    <w:p w14:paraId="43F0F1CD">
      <w:pPr>
        <w:spacing w:line="360" w:lineRule="auto"/>
        <w:ind w:firstLine="480"/>
        <w:rPr>
          <w:rFonts w:ascii="Times New Roman" w:hAnsi="Times New Roman"/>
          <w:i w:val="0"/>
          <w:iCs w:val="0"/>
          <w:color w:val="auto"/>
          <w:sz w:val="24"/>
          <w:szCs w:val="24"/>
          <w:highlight w:val="none"/>
          <w:u w:val="none"/>
        </w:rPr>
      </w:pPr>
      <w:r>
        <w:rPr>
          <w:rFonts w:ascii="Times New Roman" w:hAnsi="Times New Roman"/>
          <w:i w:val="0"/>
          <w:iCs w:val="0"/>
          <w:color w:val="auto"/>
          <w:sz w:val="24"/>
          <w:szCs w:val="24"/>
          <w:highlight w:val="none"/>
          <w:u w:val="none"/>
        </w:rPr>
        <w:t>成交供应商对进驻学校的保安须进行相关的治安保卫工作培训，并针对学校规章制度、操作流程等规定进行全面岗位培训。</w:t>
      </w:r>
    </w:p>
    <w:p w14:paraId="0D791A72">
      <w:pPr>
        <w:spacing w:line="360" w:lineRule="auto"/>
        <w:ind w:firstLine="482"/>
        <w:rPr>
          <w:rFonts w:ascii="Times New Roman" w:hAnsi="Times New Roman"/>
          <w:b/>
          <w:i w:val="0"/>
          <w:iCs w:val="0"/>
          <w:color w:val="auto"/>
          <w:sz w:val="24"/>
          <w:szCs w:val="24"/>
          <w:highlight w:val="none"/>
          <w:u w:val="none"/>
        </w:rPr>
      </w:pPr>
      <w:r>
        <w:rPr>
          <w:rFonts w:ascii="Times New Roman" w:hAnsi="Times New Roman"/>
          <w:b/>
          <w:i w:val="0"/>
          <w:iCs w:val="0"/>
          <w:color w:val="auto"/>
          <w:sz w:val="24"/>
          <w:szCs w:val="24"/>
          <w:highlight w:val="none"/>
          <w:u w:val="none"/>
        </w:rPr>
        <w:t>七、</w:t>
      </w:r>
      <w:r>
        <w:rPr>
          <w:rFonts w:hint="eastAsia" w:ascii="Times New Roman" w:hAnsi="Times New Roman"/>
          <w:b/>
          <w:i w:val="0"/>
          <w:iCs w:val="0"/>
          <w:color w:val="auto"/>
          <w:sz w:val="24"/>
          <w:szCs w:val="24"/>
          <w:highlight w:val="none"/>
          <w:u w:val="none"/>
        </w:rPr>
        <w:t>受托管理单位（中标人）的权利和义务</w:t>
      </w:r>
    </w:p>
    <w:p w14:paraId="10E4B58C">
      <w:pPr>
        <w:spacing w:line="360" w:lineRule="auto"/>
        <w:ind w:firstLine="482"/>
        <w:rPr>
          <w:rFonts w:ascii="Times New Roman" w:hAnsi="Times New Roman"/>
          <w:bCs/>
          <w:i w:val="0"/>
          <w:iCs w:val="0"/>
          <w:color w:val="auto"/>
          <w:sz w:val="24"/>
          <w:szCs w:val="24"/>
          <w:highlight w:val="none"/>
          <w:u w:val="none"/>
        </w:rPr>
      </w:pPr>
      <w:r>
        <w:rPr>
          <w:rFonts w:ascii="Times New Roman" w:hAnsi="Times New Roman"/>
          <w:bCs/>
          <w:i w:val="0"/>
          <w:iCs w:val="0"/>
          <w:color w:val="auto"/>
          <w:sz w:val="24"/>
          <w:szCs w:val="24"/>
          <w:highlight w:val="none"/>
          <w:u w:val="none"/>
        </w:rPr>
        <w:t>7</w:t>
      </w:r>
      <w:r>
        <w:rPr>
          <w:rFonts w:hint="eastAsia" w:ascii="Times New Roman" w:hAnsi="Times New Roman"/>
          <w:bCs/>
          <w:i w:val="0"/>
          <w:iCs w:val="0"/>
          <w:color w:val="auto"/>
          <w:sz w:val="24"/>
          <w:szCs w:val="24"/>
          <w:highlight w:val="none"/>
          <w:u w:val="none"/>
        </w:rPr>
        <w:t>.1 中标人经费独立核算，自负盈亏；自备管理办公设施和工作用具。</w:t>
      </w:r>
    </w:p>
    <w:p w14:paraId="31157747">
      <w:pPr>
        <w:spacing w:line="360" w:lineRule="auto"/>
        <w:ind w:firstLine="482"/>
        <w:rPr>
          <w:rFonts w:ascii="Times New Roman" w:hAnsi="Times New Roman"/>
          <w:bCs/>
          <w:i w:val="0"/>
          <w:iCs w:val="0"/>
          <w:color w:val="auto"/>
          <w:sz w:val="24"/>
          <w:szCs w:val="24"/>
          <w:highlight w:val="none"/>
          <w:u w:val="none"/>
        </w:rPr>
      </w:pPr>
      <w:r>
        <w:rPr>
          <w:rFonts w:ascii="Times New Roman" w:hAnsi="Times New Roman"/>
          <w:bCs/>
          <w:i w:val="0"/>
          <w:iCs w:val="0"/>
          <w:color w:val="auto"/>
          <w:sz w:val="24"/>
          <w:szCs w:val="24"/>
          <w:highlight w:val="none"/>
          <w:u w:val="none"/>
        </w:rPr>
        <w:t>7</w:t>
      </w:r>
      <w:r>
        <w:rPr>
          <w:rFonts w:hint="eastAsia" w:ascii="Times New Roman" w:hAnsi="Times New Roman"/>
          <w:bCs/>
          <w:i w:val="0"/>
          <w:iCs w:val="0"/>
          <w:color w:val="auto"/>
          <w:sz w:val="24"/>
          <w:szCs w:val="24"/>
          <w:highlight w:val="none"/>
          <w:u w:val="none"/>
        </w:rPr>
        <w:t>.2 按照学校（采购人）提出的标准和《劳动合同法》要求，中标人有权自行选聘各岗位工作人员，聘用人员允许在当地或原管理人员中招聘，所聘人员需经采购人审核，符合采购人要求后方可签订用人合同。中标人应当根据上级和甲方有关管理制度和规定，结合实际情况，制定切实可行的内部管理规章制度，加强人员管理，提高服务质量和管理水平，并接受采购人的监督管理。</w:t>
      </w:r>
    </w:p>
    <w:p w14:paraId="1F8DBA35">
      <w:pPr>
        <w:spacing w:line="360" w:lineRule="auto"/>
        <w:ind w:firstLine="482"/>
        <w:rPr>
          <w:rFonts w:ascii="Times New Roman" w:hAnsi="Times New Roman"/>
          <w:bCs/>
          <w:i w:val="0"/>
          <w:iCs w:val="0"/>
          <w:color w:val="auto"/>
          <w:sz w:val="24"/>
          <w:szCs w:val="24"/>
          <w:highlight w:val="none"/>
          <w:u w:val="none"/>
        </w:rPr>
      </w:pPr>
      <w:r>
        <w:rPr>
          <w:rFonts w:ascii="Times New Roman" w:hAnsi="Times New Roman"/>
          <w:bCs/>
          <w:i w:val="0"/>
          <w:iCs w:val="0"/>
          <w:color w:val="auto"/>
          <w:sz w:val="24"/>
          <w:szCs w:val="24"/>
          <w:highlight w:val="none"/>
          <w:u w:val="none"/>
        </w:rPr>
        <w:t>7</w:t>
      </w:r>
      <w:r>
        <w:rPr>
          <w:rFonts w:hint="eastAsia" w:ascii="Times New Roman" w:hAnsi="Times New Roman"/>
          <w:bCs/>
          <w:i w:val="0"/>
          <w:iCs w:val="0"/>
          <w:color w:val="auto"/>
          <w:sz w:val="24"/>
          <w:szCs w:val="24"/>
          <w:highlight w:val="none"/>
          <w:u w:val="none"/>
        </w:rPr>
        <w:t>.3 中标人负责办理所用工作人员的健康证、暂住证、出入证及劳动保险，并独立承担托管期间的刑事、民事责任，劳资、劳动保障医疗、工伤纠纷等，中标人在用工期间发生的任何劳动纠纷与采购人无关。各岗位工作人员用工名单及其基本情况报采购人备案。</w:t>
      </w:r>
    </w:p>
    <w:p w14:paraId="1B2D4DCF">
      <w:pPr>
        <w:spacing w:line="360" w:lineRule="auto"/>
        <w:ind w:firstLine="482"/>
        <w:rPr>
          <w:rFonts w:ascii="Times New Roman" w:hAnsi="Times New Roman"/>
          <w:bCs/>
          <w:i w:val="0"/>
          <w:iCs w:val="0"/>
          <w:color w:val="auto"/>
          <w:sz w:val="24"/>
          <w:szCs w:val="24"/>
          <w:highlight w:val="none"/>
          <w:u w:val="none"/>
        </w:rPr>
      </w:pPr>
      <w:r>
        <w:rPr>
          <w:rFonts w:ascii="Times New Roman" w:hAnsi="Times New Roman"/>
          <w:bCs/>
          <w:i w:val="0"/>
          <w:iCs w:val="0"/>
          <w:color w:val="auto"/>
          <w:sz w:val="24"/>
          <w:szCs w:val="24"/>
          <w:highlight w:val="none"/>
          <w:u w:val="none"/>
        </w:rPr>
        <w:t>7</w:t>
      </w:r>
      <w:r>
        <w:rPr>
          <w:rFonts w:hint="eastAsia" w:ascii="Times New Roman" w:hAnsi="Times New Roman"/>
          <w:bCs/>
          <w:i w:val="0"/>
          <w:iCs w:val="0"/>
          <w:color w:val="auto"/>
          <w:sz w:val="24"/>
          <w:szCs w:val="24"/>
          <w:highlight w:val="none"/>
          <w:u w:val="none"/>
        </w:rPr>
        <w:t>.4 中标人对有违反门卫及校园管理其他规定的行为，应按职责予以纠正，必要时提请采购人有关部门协助处理。</w:t>
      </w:r>
    </w:p>
    <w:p w14:paraId="340ECDC6">
      <w:pPr>
        <w:spacing w:line="360" w:lineRule="auto"/>
        <w:ind w:firstLine="482"/>
        <w:rPr>
          <w:rFonts w:ascii="Times New Roman" w:hAnsi="Times New Roman"/>
          <w:bCs/>
          <w:i w:val="0"/>
          <w:iCs w:val="0"/>
          <w:color w:val="auto"/>
          <w:sz w:val="24"/>
          <w:szCs w:val="24"/>
          <w:highlight w:val="none"/>
          <w:u w:val="none"/>
        </w:rPr>
      </w:pPr>
      <w:r>
        <w:rPr>
          <w:rFonts w:ascii="Times New Roman" w:hAnsi="Times New Roman"/>
          <w:bCs/>
          <w:i w:val="0"/>
          <w:iCs w:val="0"/>
          <w:color w:val="auto"/>
          <w:sz w:val="24"/>
          <w:szCs w:val="24"/>
          <w:highlight w:val="none"/>
          <w:u w:val="none"/>
        </w:rPr>
        <w:t>7</w:t>
      </w:r>
      <w:r>
        <w:rPr>
          <w:rFonts w:hint="eastAsia" w:ascii="Times New Roman" w:hAnsi="Times New Roman"/>
          <w:bCs/>
          <w:i w:val="0"/>
          <w:iCs w:val="0"/>
          <w:color w:val="auto"/>
          <w:sz w:val="24"/>
          <w:szCs w:val="24"/>
          <w:highlight w:val="none"/>
          <w:u w:val="none"/>
        </w:rPr>
        <w:t>.5 中标人各岗位用水、用电，若公共用电和保安用电未进行切分， 按照电费总量的10%收取，水费按实际发生额的50%收取；若保安用电和公共用电独立计量，则按照水电费总量的50%收取。</w:t>
      </w:r>
    </w:p>
    <w:p w14:paraId="36F8FB06">
      <w:pPr>
        <w:spacing w:line="360" w:lineRule="auto"/>
        <w:ind w:firstLine="482"/>
        <w:rPr>
          <w:rFonts w:ascii="Times New Roman" w:hAnsi="Times New Roman"/>
          <w:bCs/>
          <w:i w:val="0"/>
          <w:iCs w:val="0"/>
          <w:color w:val="auto"/>
          <w:sz w:val="24"/>
          <w:szCs w:val="24"/>
          <w:highlight w:val="none"/>
          <w:u w:val="none"/>
        </w:rPr>
      </w:pPr>
      <w:r>
        <w:rPr>
          <w:rFonts w:ascii="Times New Roman" w:hAnsi="Times New Roman"/>
          <w:bCs/>
          <w:i w:val="0"/>
          <w:iCs w:val="0"/>
          <w:color w:val="auto"/>
          <w:sz w:val="24"/>
          <w:szCs w:val="24"/>
          <w:highlight w:val="none"/>
          <w:u w:val="none"/>
        </w:rPr>
        <w:t>7</w:t>
      </w:r>
      <w:r>
        <w:rPr>
          <w:rFonts w:hint="eastAsia" w:ascii="Times New Roman" w:hAnsi="Times New Roman"/>
          <w:bCs/>
          <w:i w:val="0"/>
          <w:iCs w:val="0"/>
          <w:color w:val="auto"/>
          <w:sz w:val="24"/>
          <w:szCs w:val="24"/>
          <w:highlight w:val="none"/>
          <w:u w:val="none"/>
        </w:rPr>
        <w:t>.6 中标人应当自觉履行标书的承诺和确定的管理服务项目及质量标准，在采购人的指导下，进行服务、管理、育人一体化全方位管理运作，并根据采购人学生情况更新工作模式与方法，及时有效地调整其工作内容。</w:t>
      </w:r>
    </w:p>
    <w:p w14:paraId="08C2E3B5">
      <w:pPr>
        <w:spacing w:line="360" w:lineRule="auto"/>
        <w:ind w:firstLine="482"/>
        <w:rPr>
          <w:rFonts w:ascii="Times New Roman" w:hAnsi="Times New Roman"/>
          <w:bCs/>
          <w:i w:val="0"/>
          <w:iCs w:val="0"/>
          <w:color w:val="auto"/>
          <w:sz w:val="24"/>
          <w:szCs w:val="24"/>
          <w:highlight w:val="none"/>
          <w:u w:val="none"/>
        </w:rPr>
      </w:pPr>
      <w:r>
        <w:rPr>
          <w:rFonts w:ascii="Times New Roman" w:hAnsi="Times New Roman"/>
          <w:bCs/>
          <w:i w:val="0"/>
          <w:iCs w:val="0"/>
          <w:color w:val="auto"/>
          <w:sz w:val="24"/>
          <w:szCs w:val="24"/>
          <w:highlight w:val="none"/>
          <w:u w:val="none"/>
        </w:rPr>
        <w:t>7</w:t>
      </w:r>
      <w:r>
        <w:rPr>
          <w:rFonts w:hint="eastAsia" w:ascii="Times New Roman" w:hAnsi="Times New Roman"/>
          <w:bCs/>
          <w:i w:val="0"/>
          <w:iCs w:val="0"/>
          <w:color w:val="auto"/>
          <w:sz w:val="24"/>
          <w:szCs w:val="24"/>
          <w:highlight w:val="none"/>
          <w:u w:val="none"/>
        </w:rPr>
        <w:t>.7 中标人应当按照《江苏海洋大学校园保安服务细则》规范管理，积极主动履行相应的各项义务，做好各项服务工作；按照学校委托管理考核办法，定期接受学校考核。</w:t>
      </w:r>
    </w:p>
    <w:p w14:paraId="37A65804">
      <w:pPr>
        <w:spacing w:line="360" w:lineRule="auto"/>
        <w:ind w:firstLine="482"/>
        <w:rPr>
          <w:rFonts w:ascii="Times New Roman" w:hAnsi="Times New Roman"/>
          <w:bCs/>
          <w:i w:val="0"/>
          <w:iCs w:val="0"/>
          <w:color w:val="auto"/>
          <w:sz w:val="24"/>
          <w:szCs w:val="24"/>
          <w:highlight w:val="none"/>
          <w:u w:val="none"/>
        </w:rPr>
      </w:pPr>
      <w:r>
        <w:rPr>
          <w:rFonts w:ascii="Times New Roman" w:hAnsi="Times New Roman"/>
          <w:bCs/>
          <w:i w:val="0"/>
          <w:iCs w:val="0"/>
          <w:color w:val="auto"/>
          <w:sz w:val="24"/>
          <w:szCs w:val="24"/>
          <w:highlight w:val="none"/>
          <w:u w:val="none"/>
        </w:rPr>
        <w:t>7</w:t>
      </w:r>
      <w:r>
        <w:rPr>
          <w:rFonts w:hint="eastAsia" w:ascii="Times New Roman" w:hAnsi="Times New Roman"/>
          <w:bCs/>
          <w:i w:val="0"/>
          <w:iCs w:val="0"/>
          <w:color w:val="auto"/>
          <w:sz w:val="24"/>
          <w:szCs w:val="24"/>
          <w:highlight w:val="none"/>
          <w:u w:val="none"/>
        </w:rPr>
        <w:t>.8 在委托管理期间，中标人不可擅自提出终止合同。确因不可抗力的因素，需征得采购人同意后，方可退出。否则，按合同承担违约责任。</w:t>
      </w:r>
    </w:p>
    <w:p w14:paraId="46C22548">
      <w:pPr>
        <w:spacing w:line="360" w:lineRule="auto"/>
        <w:ind w:firstLine="482"/>
        <w:rPr>
          <w:rFonts w:ascii="Times New Roman" w:hAnsi="Times New Roman"/>
          <w:bCs/>
          <w:i w:val="0"/>
          <w:iCs w:val="0"/>
          <w:color w:val="auto"/>
          <w:sz w:val="24"/>
          <w:szCs w:val="24"/>
          <w:highlight w:val="none"/>
          <w:u w:val="none"/>
        </w:rPr>
      </w:pPr>
      <w:r>
        <w:rPr>
          <w:rFonts w:ascii="Times New Roman" w:hAnsi="Times New Roman"/>
          <w:bCs/>
          <w:i w:val="0"/>
          <w:iCs w:val="0"/>
          <w:color w:val="auto"/>
          <w:sz w:val="24"/>
          <w:szCs w:val="24"/>
          <w:highlight w:val="none"/>
          <w:u w:val="none"/>
        </w:rPr>
        <w:t>7</w:t>
      </w:r>
      <w:r>
        <w:rPr>
          <w:rFonts w:hint="eastAsia" w:ascii="Times New Roman" w:hAnsi="Times New Roman"/>
          <w:bCs/>
          <w:i w:val="0"/>
          <w:iCs w:val="0"/>
          <w:color w:val="auto"/>
          <w:sz w:val="24"/>
          <w:szCs w:val="24"/>
          <w:highlight w:val="none"/>
          <w:u w:val="none"/>
        </w:rPr>
        <w:t>.9 中标人确保托管期间的房屋、设施设备和器材的完好。托管期满，如中标人不再续管，必须完好归还采购人所提供的房屋及一切设施、设备、资料等，不得损坏、销毁设施设备、器材和资料。恶意损坏、销毁设施设备、器材和资料的，采购人有权要求赔偿和追究法律责任。</w:t>
      </w:r>
    </w:p>
    <w:p w14:paraId="79F83A23">
      <w:pPr>
        <w:spacing w:line="360" w:lineRule="auto"/>
        <w:ind w:firstLine="492"/>
        <w:rPr>
          <w:rFonts w:ascii="Times New Roman" w:hAnsi="Times New Roman"/>
          <w:b/>
          <w:i w:val="0"/>
          <w:iCs w:val="0"/>
          <w:color w:val="auto"/>
          <w:sz w:val="24"/>
          <w:szCs w:val="24"/>
          <w:highlight w:val="none"/>
          <w:u w:val="none"/>
        </w:rPr>
      </w:pPr>
      <w:r>
        <w:rPr>
          <w:rFonts w:ascii="Times New Roman" w:hAnsi="Times New Roman"/>
          <w:b/>
          <w:i w:val="0"/>
          <w:iCs w:val="0"/>
          <w:color w:val="auto"/>
          <w:sz w:val="24"/>
          <w:szCs w:val="24"/>
          <w:highlight w:val="none"/>
          <w:u w:val="none"/>
        </w:rPr>
        <w:t>八、付款方式与履约保证金</w:t>
      </w:r>
    </w:p>
    <w:p w14:paraId="37FBB85E">
      <w:pPr>
        <w:spacing w:line="360" w:lineRule="auto"/>
        <w:ind w:firstLine="480" w:firstLineChars="200"/>
        <w:rPr>
          <w:rFonts w:ascii="Times New Roman" w:hAnsi="Times New Roman"/>
          <w:i w:val="0"/>
          <w:iCs w:val="0"/>
          <w:color w:val="auto"/>
          <w:sz w:val="24"/>
          <w:szCs w:val="24"/>
          <w:highlight w:val="none"/>
          <w:u w:val="none"/>
        </w:rPr>
      </w:pPr>
      <w:r>
        <w:rPr>
          <w:rFonts w:ascii="Times New Roman" w:hAnsi="Times New Roman"/>
          <w:i w:val="0"/>
          <w:iCs w:val="0"/>
          <w:color w:val="auto"/>
          <w:sz w:val="24"/>
          <w:szCs w:val="24"/>
          <w:highlight w:val="none"/>
          <w:u w:val="none"/>
        </w:rPr>
        <w:t>1、</w:t>
      </w:r>
      <w:r>
        <w:rPr>
          <w:rFonts w:hint="eastAsia" w:ascii="Times New Roman" w:hAnsi="Times New Roman"/>
          <w:i w:val="0"/>
          <w:iCs w:val="0"/>
          <w:color w:val="auto"/>
          <w:sz w:val="24"/>
          <w:szCs w:val="24"/>
          <w:highlight w:val="none"/>
          <w:u w:val="none"/>
        </w:rPr>
        <w:t>付款方式：</w:t>
      </w:r>
    </w:p>
    <w:p w14:paraId="42DB4FCB">
      <w:pPr>
        <w:spacing w:line="360" w:lineRule="auto"/>
        <w:ind w:firstLine="480" w:firstLineChars="200"/>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根据季度考核结果，次月15日前支付该季度服务费。</w:t>
      </w:r>
    </w:p>
    <w:p w14:paraId="7290FAFB">
      <w:pPr>
        <w:spacing w:line="360" w:lineRule="auto"/>
        <w:ind w:firstLine="480"/>
        <w:jc w:val="left"/>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对满足合同约定支付条件的，采购人自收到发票后30日内将资金支付到合同约定的供应商账户(以发票开具日期计算)。</w:t>
      </w:r>
    </w:p>
    <w:p w14:paraId="3EF96007">
      <w:pPr>
        <w:spacing w:line="360" w:lineRule="auto"/>
        <w:ind w:firstLine="480"/>
        <w:rPr>
          <w:rFonts w:ascii="Times New Roman" w:hAnsi="Times New Roman"/>
          <w:i w:val="0"/>
          <w:iCs w:val="0"/>
          <w:color w:val="auto"/>
          <w:sz w:val="24"/>
          <w:szCs w:val="24"/>
          <w:highlight w:val="none"/>
          <w:u w:val="none"/>
        </w:rPr>
      </w:pPr>
      <w:r>
        <w:rPr>
          <w:rFonts w:ascii="Times New Roman" w:hAnsi="Times New Roman"/>
          <w:i w:val="0"/>
          <w:iCs w:val="0"/>
          <w:color w:val="auto"/>
          <w:sz w:val="24"/>
          <w:szCs w:val="24"/>
          <w:highlight w:val="none"/>
          <w:u w:val="none"/>
        </w:rPr>
        <w:t>2、履约保证金</w:t>
      </w:r>
    </w:p>
    <w:p w14:paraId="7FE5B54B">
      <w:pPr>
        <w:spacing w:line="360" w:lineRule="auto"/>
        <w:ind w:firstLine="480"/>
        <w:jc w:val="left"/>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（1）本项目履约保证金为合同金额的5%。</w:t>
      </w:r>
    </w:p>
    <w:p w14:paraId="2A690CC3">
      <w:pPr>
        <w:spacing w:line="360" w:lineRule="auto"/>
        <w:ind w:firstLine="480"/>
        <w:jc w:val="left"/>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（2）中标人应当以支票、汇票、本票或者金融机构、担保机构出具的保函等非现金形式在合同签订前提交。</w:t>
      </w:r>
    </w:p>
    <w:p w14:paraId="1B1B5AE6">
      <w:pPr>
        <w:spacing w:line="360" w:lineRule="auto"/>
        <w:ind w:firstLine="480"/>
        <w:jc w:val="left"/>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（3）履约保证金自合同生效之日起至合同约定的中标人主要义务履行完毕止，采购人按合同约定退还履约保证金（不计利息）。</w:t>
      </w:r>
    </w:p>
    <w:p w14:paraId="037AFD07">
      <w:pPr>
        <w:spacing w:line="360" w:lineRule="auto"/>
        <w:ind w:firstLine="480"/>
        <w:jc w:val="left"/>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（4）中标人违约的，采购人将按照合同约定扣除其全部或部分履约保证金。如中标人违约给采购人造成的损失超过履约保证金的，应当依法赔偿超过部分的损失。</w:t>
      </w:r>
    </w:p>
    <w:p w14:paraId="2049B65C">
      <w:pPr>
        <w:spacing w:line="360" w:lineRule="auto"/>
        <w:ind w:firstLine="482"/>
        <w:rPr>
          <w:rFonts w:ascii="Times New Roman" w:hAnsi="Times New Roman"/>
          <w:b/>
          <w:i w:val="0"/>
          <w:iCs w:val="0"/>
          <w:color w:val="auto"/>
          <w:sz w:val="24"/>
          <w:szCs w:val="24"/>
          <w:highlight w:val="none"/>
          <w:u w:val="none"/>
        </w:rPr>
      </w:pPr>
      <w:r>
        <w:rPr>
          <w:rFonts w:ascii="Times New Roman" w:hAnsi="Times New Roman"/>
          <w:b/>
          <w:i w:val="0"/>
          <w:iCs w:val="0"/>
          <w:color w:val="auto"/>
          <w:sz w:val="24"/>
          <w:szCs w:val="24"/>
          <w:highlight w:val="none"/>
          <w:u w:val="none"/>
        </w:rPr>
        <w:t>九、报价要求</w:t>
      </w:r>
    </w:p>
    <w:p w14:paraId="46E59F78">
      <w:pPr>
        <w:spacing w:line="360" w:lineRule="auto"/>
        <w:ind w:firstLine="480"/>
        <w:rPr>
          <w:rFonts w:ascii="Times New Roman" w:hAnsi="Times New Roman"/>
          <w:i w:val="0"/>
          <w:iCs w:val="0"/>
          <w:color w:val="auto"/>
          <w:sz w:val="24"/>
          <w:szCs w:val="24"/>
          <w:highlight w:val="none"/>
          <w:u w:val="none"/>
        </w:rPr>
      </w:pPr>
      <w:r>
        <w:rPr>
          <w:rFonts w:ascii="Times New Roman" w:hAnsi="Times New Roman"/>
          <w:i w:val="0"/>
          <w:iCs w:val="0"/>
          <w:color w:val="auto"/>
          <w:sz w:val="24"/>
          <w:szCs w:val="24"/>
          <w:highlight w:val="none"/>
          <w:u w:val="none"/>
        </w:rPr>
        <w:t>1</w:t>
      </w:r>
      <w:r>
        <w:rPr>
          <w:rFonts w:hint="eastAsia" w:ascii="Times New Roman" w:hAnsi="Times New Roman"/>
          <w:i w:val="0"/>
          <w:iCs w:val="0"/>
          <w:color w:val="auto"/>
          <w:sz w:val="24"/>
          <w:szCs w:val="24"/>
          <w:highlight w:val="none"/>
          <w:u w:val="none"/>
        </w:rPr>
        <w:t>、报价内容应包括但不限于人员工资、加班费、临时突击费用、社会保障缴费、福利、工具、通讯设施、办公设备、巡检器材、保险、物资消耗、服装、胸卡、管理费、利润、税费、政策性文件规定及合同包含的所有风险、责任等。投标人要充分考虑所有工作人员的值休、轮休、法定假日休息以及岗位顶班、日常机动人员的配备，以上所有费用均计入投标总价。</w:t>
      </w:r>
    </w:p>
    <w:p w14:paraId="72239356">
      <w:pPr>
        <w:spacing w:line="360" w:lineRule="auto"/>
        <w:ind w:firstLine="480"/>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2、所聘用的保安员基本工资</w:t>
      </w:r>
      <w:r>
        <w:rPr>
          <w:rFonts w:hint="eastAsia"/>
          <w:i w:val="0"/>
          <w:iCs w:val="0"/>
          <w:color w:val="auto"/>
          <w:highlight w:val="none"/>
          <w:u w:val="none"/>
        </w:rPr>
        <w:t>及五险一金</w:t>
      </w:r>
      <w:r>
        <w:rPr>
          <w:rFonts w:hint="eastAsia" w:ascii="Times New Roman" w:hAnsi="Times New Roman"/>
          <w:i w:val="0"/>
          <w:iCs w:val="0"/>
          <w:color w:val="auto"/>
          <w:sz w:val="24"/>
          <w:szCs w:val="24"/>
          <w:highlight w:val="none"/>
          <w:u w:val="none"/>
        </w:rPr>
        <w:t>（不包括福利以及加班工资等）不能低于连云港市规定的最低工资标准，不得发生拖欠员工工资等的情况。为本项目所聘用的所有服务人员在校园工作期间发生人身伤害和重大事故等所有相关事宜由保安服务公司全部负责。</w:t>
      </w:r>
    </w:p>
    <w:p w14:paraId="59D834CA">
      <w:pPr>
        <w:spacing w:line="360" w:lineRule="auto"/>
        <w:ind w:firstLine="480"/>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3、在合同期（3年）内不得因国家提高最低工资标准、保险金比例等因素而调整合同价格，供应商在投标时综合考虑在内，中标后不予调整。</w:t>
      </w:r>
    </w:p>
    <w:p w14:paraId="566E0E9C">
      <w:pPr>
        <w:spacing w:line="360" w:lineRule="auto"/>
        <w:ind w:firstLine="480"/>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4、投标人应对所投项目的全部内容进行报价，完成招标文件规定的服务工作所涉及到的一切相关费用。</w:t>
      </w:r>
    </w:p>
    <w:p w14:paraId="57335FB8">
      <w:pPr>
        <w:spacing w:line="360" w:lineRule="auto"/>
        <w:ind w:firstLine="480"/>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5、投标人应采用分项报价最终汇总的方式进行，标明拟提供服务的单价和总价，详细分析各项费用组成（表格参照后面报价表）；</w:t>
      </w:r>
    </w:p>
    <w:p w14:paraId="68EC0902">
      <w:pPr>
        <w:spacing w:line="360" w:lineRule="auto"/>
        <w:ind w:firstLine="480"/>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6、本次投标报价为包干制。</w:t>
      </w:r>
    </w:p>
    <w:p w14:paraId="1EC1AF1B">
      <w:pPr>
        <w:spacing w:line="360" w:lineRule="auto"/>
        <w:ind w:firstLine="480" w:firstLineChars="200"/>
        <w:rPr>
          <w:rFonts w:ascii="Times New Roman" w:hAnsi="Times New Roman"/>
          <w:b/>
          <w:i w:val="0"/>
          <w:iCs w:val="0"/>
          <w:color w:val="auto"/>
          <w:sz w:val="24"/>
          <w:szCs w:val="24"/>
          <w:highlight w:val="none"/>
          <w:u w:val="none"/>
        </w:rPr>
      </w:pPr>
      <w:r>
        <w:rPr>
          <w:rFonts w:ascii="Times New Roman" w:hAnsi="Times New Roman"/>
          <w:b/>
          <w:i w:val="0"/>
          <w:iCs w:val="0"/>
          <w:color w:val="auto"/>
          <w:sz w:val="24"/>
          <w:szCs w:val="24"/>
          <w:highlight w:val="none"/>
          <w:u w:val="none"/>
        </w:rPr>
        <w:t>十、</w:t>
      </w:r>
      <w:r>
        <w:rPr>
          <w:rFonts w:hint="eastAsia" w:ascii="Times New Roman" w:hAnsi="Times New Roman"/>
          <w:b/>
          <w:i w:val="0"/>
          <w:iCs w:val="0"/>
          <w:color w:val="auto"/>
          <w:sz w:val="24"/>
          <w:szCs w:val="24"/>
          <w:highlight w:val="none"/>
          <w:u w:val="none"/>
        </w:rPr>
        <w:t>江苏海洋大学校园保安服务细则：</w:t>
      </w:r>
    </w:p>
    <w:p w14:paraId="56D09B80">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1、门卫岗位服务细则</w:t>
      </w:r>
    </w:p>
    <w:p w14:paraId="1BEA51B9">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1.1值班人员必须严格按照规定时间上下班，不看书报和手机，不做私事，不与他人在岗位上闲谈嬉笑，不在值班时接待无关人员，严禁脱岗、空岗，要着保安服装，穿戴整齐；</w:t>
      </w:r>
    </w:p>
    <w:p w14:paraId="074DDFFB">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1.2认真贯彻执行江苏海洋大学门卫管理制度以及其他相关规定，熟悉校园各建筑物位置、用途，了解各部门所在位置以及学生宿舍学生的分布状况；</w:t>
      </w:r>
    </w:p>
    <w:p w14:paraId="51965562">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1.3夜间值勤不准睡觉，要密切注意校门周围的情况，发现问题及时处理和报告。对发生的各种意外事故要及时采取措施，不得退缩不管；</w:t>
      </w:r>
    </w:p>
    <w:p w14:paraId="0F566918">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1.4值勤时文明待客，态度热情，认真检查出入人员、各种车辆，办理来访人员会客手续和车辆登记、换证、收费等；</w:t>
      </w:r>
    </w:p>
    <w:p w14:paraId="010A850E">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1.5认真检验携带公私物品外出的出门证明和证件，检查实物并进行登记；</w:t>
      </w:r>
    </w:p>
    <w:p w14:paraId="0B9F1A91">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1.6进出人员较多时，双人站岗，注意车辆和行人的安全；苍梧路正门实行白班站岗执勤制度；</w:t>
      </w:r>
    </w:p>
    <w:p w14:paraId="71CAF428">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1.7爱护公物设施，管理好电动门、门禁系统控制器，禁止非值班人员随意启动；</w:t>
      </w:r>
    </w:p>
    <w:p w14:paraId="120592D0">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1.8认真填写交接班登记，按时交接班，保持值班室内以及大门周边环境卫生，工作环境整洁有序；</w:t>
      </w:r>
    </w:p>
    <w:p w14:paraId="7ADE038F">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1.9熟悉灭火器械的性能及使用方法，了解消防设施的位置，发现火警及时处理并报告；</w:t>
      </w:r>
    </w:p>
    <w:p w14:paraId="323B8886">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1.10服从领导安排，完成领导交办的其他任务。</w:t>
      </w:r>
    </w:p>
    <w:p w14:paraId="30F15505">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2、巡逻队服务细则</w:t>
      </w:r>
    </w:p>
    <w:p w14:paraId="35578093">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2.1巡逻人员的主要任务是校园秩序的维护，保障师生员工安全不受侵害，以及校园重点部位的防火防盗巡逻和检查；</w:t>
      </w:r>
    </w:p>
    <w:p w14:paraId="78EC667C">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2.2巡逻人员必须按规定时间和路线巡逻，实行24小时全天候、双人双岗巡逻制度，并认真做好巡逻工作记录；</w:t>
      </w:r>
    </w:p>
    <w:p w14:paraId="20249025">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2.3接受治安监控指挥中心的指挥，及时处理各种警情和求助；</w:t>
      </w:r>
    </w:p>
    <w:p w14:paraId="35BAA0E7">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2.4巡逻人员在值勤时要遵守工作纪律，不擅离职守，不迟到早退。服装统一整齐，步调一致，文明执法，不准打人骂人，不准随意使用警具；</w:t>
      </w:r>
    </w:p>
    <w:p w14:paraId="53BB8001">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2.5巡逻人员随时保持高度警惕，要善于盘查可疑人员，注意发现可疑迹象，发现问题及时向带班领导汇报情况；</w:t>
      </w:r>
    </w:p>
    <w:p w14:paraId="5B2A8825">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2.6巡逻人员对发生案件的部位要注意保护现场，配合保卫处和公安部门查处违法犯罪人员；</w:t>
      </w:r>
    </w:p>
    <w:p w14:paraId="09B5CEDC">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2.7巡逻人员兼职校内业余消防队，熟悉建筑消防设施格局、熟悉安全出口和疏散通道位置、能够熟练使用安防器材，对发生的各种意外事故和初起火灾要及时采取措施处置;对较大事故和火灾要及时报警，并报告带班领导；</w:t>
      </w:r>
    </w:p>
    <w:p w14:paraId="1ECD721D">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2.8巡逻人员在工作中必须坚持原则，不得徇私枉法、接受贿赂、私放违法犯罪嫌疑人员；</w:t>
      </w:r>
    </w:p>
    <w:p w14:paraId="4A9F921C">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2.9完成学校重大活动期间的安全保障任务和领导交办的其它任务。</w:t>
      </w:r>
    </w:p>
    <w:p w14:paraId="66B51243">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3、行政楼值班员服务细则</w:t>
      </w:r>
    </w:p>
    <w:p w14:paraId="4B8A893A">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3.1认真执行行政楼管理制度，熟悉楼内各处室分布情况，保证正常的办公工作环境，做好行政楼的安全保卫工作；</w:t>
      </w:r>
    </w:p>
    <w:p w14:paraId="1CBF5DB3">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3.2负责行政楼外来人员的登记、接待和联络工作，礼貌待客，热情周到；</w:t>
      </w:r>
    </w:p>
    <w:p w14:paraId="747A5784">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3.3受理校园内各类报警、求助，并认真做好当班记录；</w:t>
      </w:r>
    </w:p>
    <w:p w14:paraId="147C6BB3">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3.4协调处理当班的一般警情，并及时报告值班干部；</w:t>
      </w:r>
    </w:p>
    <w:p w14:paraId="043C788A">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3.5值班人员必须严格按照规定时间上下班，不看书报和手机，不做私事，不与他人在岗位上闲谈嬉笑，不在值班时接待无关人员，严禁脱岗、空岗，要着保安服装，穿戴整齐；</w:t>
      </w:r>
    </w:p>
    <w:p w14:paraId="1EE8F6B0">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3.6负责楼前广场的车辆停放管理；</w:t>
      </w:r>
    </w:p>
    <w:p w14:paraId="6A4C8C63">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3.7协助保卫处处理一些力所能及工作；</w:t>
      </w:r>
    </w:p>
    <w:p w14:paraId="15B292A0">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3.8服从领导安排，完成领导交办的其他任务。</w:t>
      </w:r>
    </w:p>
    <w:p w14:paraId="7EAFC3BC">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4、监控指挥中心工作细则</w:t>
      </w:r>
    </w:p>
    <w:p w14:paraId="37F50BAB">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4.1接受校内电话及网络报警，指挥巡逻队现场处理，及时侦破处理各类案件；</w:t>
      </w:r>
    </w:p>
    <w:p w14:paraId="4ECD6913">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4.2值班人员要尽职尽责，高度警惕，不间断掌握各种监控信息，发现情况及时指挥巡逻队进行处理，必要时报告上级领导；</w:t>
      </w:r>
    </w:p>
    <w:p w14:paraId="3944E275">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4.3指挥中心工作人员应熟悉工作设备，能熟练操作监控设施和熟练掌握运用平安校园管理信息系统；</w:t>
      </w:r>
    </w:p>
    <w:p w14:paraId="22B07334">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4.4值班人员必须严格按照规定时间上下班，不得离岗、不看书报和手机，不做私事，不与他人在岗位上闲谈嬉笑，不在值班室接待无关人员，严禁脱岗、空岗，要着保安服装，穿戴整齐；</w:t>
      </w:r>
    </w:p>
    <w:p w14:paraId="66405D6B">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4.5严禁无关人员进入监控指挥中心，值班人员不得私自将视频资料供他人查阅；确因工作需要的，经领导同意后可以查阅，并做好记录；</w:t>
      </w:r>
    </w:p>
    <w:p w14:paraId="4E4CAF4E">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4.6爱护公共财物，保持室内卫生，保持工作环境整洁；严禁报警电话私用，严禁用报警电话聊天，保证报警电话随时接通；</w:t>
      </w:r>
    </w:p>
    <w:p w14:paraId="6EEE3094">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4.7值班时间不得接待外来人员，不做与工作无关的事情；</w:t>
      </w:r>
    </w:p>
    <w:p w14:paraId="42CA9786">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4.8认真填写交接班记录，按时交接班；</w:t>
      </w:r>
    </w:p>
    <w:p w14:paraId="7123CFF6">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4.9服从领导安排，完成领导交办的其他任务。</w:t>
      </w:r>
    </w:p>
    <w:p w14:paraId="05EDF9DF">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5、消防控制室工作细则</w:t>
      </w:r>
    </w:p>
    <w:p w14:paraId="159789E6">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5.1工作人员必须持证上岗，熟悉和掌握我校消防设施的工作原理、功能和操作规程；</w:t>
      </w:r>
    </w:p>
    <w:p w14:paraId="719204A2">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5.2对消防控制室设备及通讯器材等进行经常性的检查，定期做好系统功能试验，协助技术人员做好修理、维护工作，不得挪用或擅自拆除、停用消防设施，保证设备正常运行；</w:t>
      </w:r>
    </w:p>
    <w:p w14:paraId="09C8B104">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5.3负责对消防设施进行每日检查，认真记录控制器运行情况，并填写《消防控制室值班记录》；</w:t>
      </w:r>
    </w:p>
    <w:p w14:paraId="733BAB29">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5.4发现异常情况和设备故障，值班人员应第一时间进行处理，并认真如实的填写《建筑消防设施故障处理记录》；</w:t>
      </w:r>
    </w:p>
    <w:p w14:paraId="53223363">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5.5熟练掌握《消防控制室管理及应急程序》，火灾情况下能够按照程序开展灭火救援工作；</w:t>
      </w:r>
    </w:p>
    <w:p w14:paraId="621A4197">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5.6值班人员必须严格按照规定时间上下班，不看书报和手机，不做私事，不与他人在岗位上闲谈嬉笑，不在值班时接待无关人员，严禁脱岗、空岗，要着保安服装，穿戴整齐；</w:t>
      </w:r>
    </w:p>
    <w:p w14:paraId="24533BE3">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5.7维护消防监控中心环境的清洁卫生。严禁报警电话私用或聊天，保证报警电话畅通；</w:t>
      </w:r>
    </w:p>
    <w:p w14:paraId="282D3AE0">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5.8服从领导安排，完成领导交办的其他任务。</w:t>
      </w:r>
    </w:p>
    <w:p w14:paraId="6A385AD2">
      <w:pPr>
        <w:numPr>
          <w:ilvl w:val="0"/>
          <w:numId w:val="1"/>
        </w:num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考核标准及考核办法</w:t>
      </w:r>
    </w:p>
    <w:p w14:paraId="0F011404">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6.1考核标准</w:t>
      </w:r>
    </w:p>
    <w:tbl>
      <w:tblPr>
        <w:tblStyle w:val="8"/>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4"/>
        <w:gridCol w:w="6388"/>
        <w:gridCol w:w="1065"/>
        <w:gridCol w:w="709"/>
      </w:tblGrid>
      <w:tr w14:paraId="24726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tcBorders>
              <w:top w:val="single" w:color="auto" w:sz="4" w:space="0"/>
              <w:left w:val="single" w:color="auto" w:sz="4" w:space="0"/>
              <w:bottom w:val="single" w:color="auto" w:sz="4" w:space="0"/>
              <w:right w:val="single" w:color="auto" w:sz="4" w:space="0"/>
            </w:tcBorders>
            <w:vAlign w:val="center"/>
          </w:tcPr>
          <w:p w14:paraId="37699C3E">
            <w:pPr>
              <w:jc w:val="center"/>
              <w:rPr>
                <w:rFonts w:ascii="宋体" w:hAnsi="宋体" w:cs="仿宋_GB2312"/>
                <w:bCs/>
                <w:i w:val="0"/>
                <w:iCs w:val="0"/>
                <w:color w:val="auto"/>
                <w:kern w:val="2"/>
                <w:sz w:val="24"/>
                <w:szCs w:val="24"/>
                <w:highlight w:val="none"/>
                <w:u w:val="none"/>
              </w:rPr>
            </w:pPr>
            <w:r>
              <w:rPr>
                <w:rFonts w:hint="eastAsia" w:ascii="宋体" w:hAnsi="宋体" w:cs="仿宋_GB2312"/>
                <w:bCs/>
                <w:i w:val="0"/>
                <w:iCs w:val="0"/>
                <w:color w:val="auto"/>
                <w:kern w:val="2"/>
                <w:sz w:val="24"/>
                <w:szCs w:val="24"/>
                <w:highlight w:val="none"/>
                <w:u w:val="none"/>
              </w:rPr>
              <w:t>考核岗位</w:t>
            </w:r>
          </w:p>
        </w:tc>
        <w:tc>
          <w:tcPr>
            <w:tcW w:w="6388" w:type="dxa"/>
            <w:tcBorders>
              <w:top w:val="single" w:color="auto" w:sz="4" w:space="0"/>
              <w:left w:val="single" w:color="auto" w:sz="4" w:space="0"/>
              <w:bottom w:val="single" w:color="auto" w:sz="4" w:space="0"/>
              <w:right w:val="single" w:color="auto" w:sz="4" w:space="0"/>
            </w:tcBorders>
            <w:vAlign w:val="center"/>
          </w:tcPr>
          <w:p w14:paraId="699BD89A">
            <w:pPr>
              <w:jc w:val="center"/>
              <w:rPr>
                <w:rFonts w:ascii="宋体" w:hAnsi="宋体" w:cs="仿宋_GB2312"/>
                <w:bCs/>
                <w:i w:val="0"/>
                <w:iCs w:val="0"/>
                <w:color w:val="auto"/>
                <w:kern w:val="2"/>
                <w:sz w:val="24"/>
                <w:szCs w:val="24"/>
                <w:highlight w:val="none"/>
                <w:u w:val="none"/>
              </w:rPr>
            </w:pPr>
            <w:r>
              <w:rPr>
                <w:rFonts w:hint="eastAsia" w:ascii="宋体" w:hAnsi="宋体" w:cs="仿宋_GB2312"/>
                <w:bCs/>
                <w:i w:val="0"/>
                <w:iCs w:val="0"/>
                <w:color w:val="auto"/>
                <w:kern w:val="2"/>
                <w:sz w:val="24"/>
                <w:szCs w:val="24"/>
                <w:highlight w:val="none"/>
                <w:u w:val="none"/>
              </w:rPr>
              <w:t>检查内容</w:t>
            </w:r>
          </w:p>
        </w:tc>
        <w:tc>
          <w:tcPr>
            <w:tcW w:w="1065" w:type="dxa"/>
            <w:tcBorders>
              <w:top w:val="single" w:color="auto" w:sz="4" w:space="0"/>
              <w:left w:val="single" w:color="auto" w:sz="4" w:space="0"/>
              <w:bottom w:val="single" w:color="auto" w:sz="4" w:space="0"/>
              <w:right w:val="single" w:color="auto" w:sz="4" w:space="0"/>
            </w:tcBorders>
            <w:vAlign w:val="center"/>
          </w:tcPr>
          <w:p w14:paraId="1AD1833C">
            <w:pPr>
              <w:jc w:val="center"/>
              <w:rPr>
                <w:rFonts w:ascii="宋体" w:hAnsi="宋体" w:cs="仿宋_GB2312"/>
                <w:bCs/>
                <w:i w:val="0"/>
                <w:iCs w:val="0"/>
                <w:color w:val="auto"/>
                <w:kern w:val="2"/>
                <w:sz w:val="24"/>
                <w:szCs w:val="24"/>
                <w:highlight w:val="none"/>
                <w:u w:val="none"/>
              </w:rPr>
            </w:pPr>
            <w:r>
              <w:rPr>
                <w:rFonts w:hint="eastAsia" w:ascii="宋体" w:hAnsi="宋体" w:cs="仿宋_GB2312"/>
                <w:bCs/>
                <w:i w:val="0"/>
                <w:iCs w:val="0"/>
                <w:color w:val="auto"/>
                <w:kern w:val="2"/>
                <w:sz w:val="24"/>
                <w:szCs w:val="24"/>
                <w:highlight w:val="none"/>
                <w:u w:val="none"/>
              </w:rPr>
              <w:t>标准分</w:t>
            </w:r>
          </w:p>
        </w:tc>
        <w:tc>
          <w:tcPr>
            <w:tcW w:w="709" w:type="dxa"/>
            <w:tcBorders>
              <w:top w:val="single" w:color="auto" w:sz="4" w:space="0"/>
              <w:left w:val="single" w:color="auto" w:sz="4" w:space="0"/>
              <w:bottom w:val="single" w:color="auto" w:sz="4" w:space="0"/>
              <w:right w:val="single" w:color="auto" w:sz="4" w:space="0"/>
            </w:tcBorders>
            <w:vAlign w:val="center"/>
          </w:tcPr>
          <w:p w14:paraId="72A44EDD">
            <w:pPr>
              <w:jc w:val="center"/>
              <w:rPr>
                <w:rFonts w:ascii="宋体" w:hAnsi="宋体" w:cs="仿宋_GB2312"/>
                <w:bCs/>
                <w:i w:val="0"/>
                <w:iCs w:val="0"/>
                <w:color w:val="auto"/>
                <w:kern w:val="2"/>
                <w:sz w:val="24"/>
                <w:szCs w:val="24"/>
                <w:highlight w:val="none"/>
                <w:u w:val="none"/>
              </w:rPr>
            </w:pPr>
            <w:r>
              <w:rPr>
                <w:rFonts w:hint="eastAsia" w:ascii="宋体" w:hAnsi="宋体" w:cs="仿宋_GB2312"/>
                <w:bCs/>
                <w:i w:val="0"/>
                <w:iCs w:val="0"/>
                <w:color w:val="auto"/>
                <w:kern w:val="2"/>
                <w:sz w:val="24"/>
                <w:szCs w:val="24"/>
                <w:highlight w:val="none"/>
                <w:u w:val="none"/>
              </w:rPr>
              <w:t>得分</w:t>
            </w:r>
          </w:p>
        </w:tc>
      </w:tr>
      <w:tr w14:paraId="73DC1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restart"/>
            <w:tcBorders>
              <w:top w:val="nil"/>
              <w:left w:val="single" w:color="auto" w:sz="4" w:space="0"/>
              <w:bottom w:val="single" w:color="auto" w:sz="4" w:space="0"/>
              <w:right w:val="single" w:color="auto" w:sz="4" w:space="0"/>
            </w:tcBorders>
            <w:vAlign w:val="center"/>
          </w:tcPr>
          <w:p w14:paraId="549B605D">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门</w:t>
            </w:r>
          </w:p>
          <w:p w14:paraId="67CCA68D">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卫</w:t>
            </w:r>
          </w:p>
          <w:p w14:paraId="311E561A">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岗</w:t>
            </w:r>
          </w:p>
          <w:p w14:paraId="73D9E5FB">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位</w:t>
            </w:r>
          </w:p>
          <w:p w14:paraId="0958B36A">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（25分）</w:t>
            </w:r>
          </w:p>
        </w:tc>
        <w:tc>
          <w:tcPr>
            <w:tcW w:w="6388" w:type="dxa"/>
            <w:tcBorders>
              <w:top w:val="single" w:color="auto" w:sz="4" w:space="0"/>
              <w:left w:val="single" w:color="auto" w:sz="4" w:space="0"/>
              <w:bottom w:val="single" w:color="auto" w:sz="4" w:space="0"/>
              <w:right w:val="single" w:color="auto" w:sz="4" w:space="0"/>
            </w:tcBorders>
          </w:tcPr>
          <w:p w14:paraId="2AE7AC45">
            <w:pPr>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sz w:val="24"/>
                <w:szCs w:val="24"/>
                <w:highlight w:val="none"/>
                <w:u w:val="none"/>
              </w:rPr>
              <w:t>1.认真贯彻执行《江苏海洋大学门卫管理制度》，熟悉校园单位部门所在区域，各学院学生宿舍的分布和有关规章制度。</w:t>
            </w:r>
          </w:p>
        </w:tc>
        <w:tc>
          <w:tcPr>
            <w:tcW w:w="1065" w:type="dxa"/>
            <w:tcBorders>
              <w:top w:val="single" w:color="auto" w:sz="4" w:space="0"/>
              <w:left w:val="single" w:color="auto" w:sz="4" w:space="0"/>
              <w:bottom w:val="single" w:color="auto" w:sz="4" w:space="0"/>
              <w:right w:val="single" w:color="auto" w:sz="4" w:space="0"/>
            </w:tcBorders>
            <w:vAlign w:val="center"/>
          </w:tcPr>
          <w:p w14:paraId="14C8A6D7">
            <w:pPr>
              <w:tabs>
                <w:tab w:val="left" w:pos="465"/>
              </w:tabs>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w:t>
            </w:r>
          </w:p>
        </w:tc>
        <w:tc>
          <w:tcPr>
            <w:tcW w:w="709" w:type="dxa"/>
            <w:tcBorders>
              <w:top w:val="single" w:color="auto" w:sz="4" w:space="0"/>
              <w:left w:val="single" w:color="auto" w:sz="4" w:space="0"/>
              <w:bottom w:val="single" w:color="auto" w:sz="4" w:space="0"/>
              <w:right w:val="single" w:color="auto" w:sz="4" w:space="0"/>
            </w:tcBorders>
          </w:tcPr>
          <w:p w14:paraId="70B53C6D">
            <w:pPr>
              <w:rPr>
                <w:rFonts w:ascii="宋体" w:hAnsi="宋体" w:cs="仿宋_GB2312"/>
                <w:b/>
                <w:i w:val="0"/>
                <w:iCs w:val="0"/>
                <w:color w:val="auto"/>
                <w:kern w:val="2"/>
                <w:sz w:val="24"/>
                <w:szCs w:val="24"/>
                <w:highlight w:val="none"/>
                <w:u w:val="none"/>
              </w:rPr>
            </w:pPr>
          </w:p>
        </w:tc>
      </w:tr>
      <w:tr w14:paraId="5B188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5D407BB5">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tcPr>
          <w:p w14:paraId="0DD6AB4B">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2.值勤时要保持高度警惕，不擅离岗位，不看书报，不做私事，不与他人在岗位上和值班室内闲谈嬉笑。夜间值勤不睡觉，密切注意校门周边的情况，发现问题及时处理和报告。</w:t>
            </w:r>
          </w:p>
        </w:tc>
        <w:tc>
          <w:tcPr>
            <w:tcW w:w="1065" w:type="dxa"/>
            <w:tcBorders>
              <w:top w:val="single" w:color="auto" w:sz="4" w:space="0"/>
              <w:left w:val="single" w:color="auto" w:sz="4" w:space="0"/>
              <w:bottom w:val="single" w:color="auto" w:sz="4" w:space="0"/>
              <w:right w:val="single" w:color="auto" w:sz="4" w:space="0"/>
            </w:tcBorders>
            <w:vAlign w:val="center"/>
          </w:tcPr>
          <w:p w14:paraId="7F761C3B">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w:t>
            </w:r>
          </w:p>
        </w:tc>
        <w:tc>
          <w:tcPr>
            <w:tcW w:w="709" w:type="dxa"/>
            <w:tcBorders>
              <w:top w:val="single" w:color="auto" w:sz="4" w:space="0"/>
              <w:left w:val="single" w:color="auto" w:sz="4" w:space="0"/>
              <w:bottom w:val="single" w:color="auto" w:sz="4" w:space="0"/>
              <w:right w:val="single" w:color="auto" w:sz="4" w:space="0"/>
            </w:tcBorders>
          </w:tcPr>
          <w:p w14:paraId="71260847">
            <w:pPr>
              <w:rPr>
                <w:rFonts w:ascii="宋体" w:hAnsi="宋体" w:cs="仿宋_GB2312"/>
                <w:b/>
                <w:i w:val="0"/>
                <w:iCs w:val="0"/>
                <w:color w:val="auto"/>
                <w:kern w:val="2"/>
                <w:sz w:val="24"/>
                <w:szCs w:val="24"/>
                <w:highlight w:val="none"/>
                <w:u w:val="none"/>
              </w:rPr>
            </w:pPr>
          </w:p>
        </w:tc>
      </w:tr>
      <w:tr w14:paraId="013A7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580A4405">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tcPr>
          <w:p w14:paraId="1CE05C1E">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3.值勤时要着装整齐，姿态端正，文明待客，态度热情。认真检查出入人员、车辆，办理来访人员会客手续和车辆登记、收费等。</w:t>
            </w:r>
          </w:p>
        </w:tc>
        <w:tc>
          <w:tcPr>
            <w:tcW w:w="1065" w:type="dxa"/>
            <w:tcBorders>
              <w:top w:val="single" w:color="auto" w:sz="4" w:space="0"/>
              <w:left w:val="single" w:color="auto" w:sz="4" w:space="0"/>
              <w:bottom w:val="single" w:color="auto" w:sz="4" w:space="0"/>
              <w:right w:val="single" w:color="auto" w:sz="4" w:space="0"/>
            </w:tcBorders>
            <w:vAlign w:val="center"/>
          </w:tcPr>
          <w:p w14:paraId="663ABEBE">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w:t>
            </w:r>
          </w:p>
        </w:tc>
        <w:tc>
          <w:tcPr>
            <w:tcW w:w="709" w:type="dxa"/>
            <w:tcBorders>
              <w:top w:val="single" w:color="auto" w:sz="4" w:space="0"/>
              <w:left w:val="single" w:color="auto" w:sz="4" w:space="0"/>
              <w:bottom w:val="single" w:color="auto" w:sz="4" w:space="0"/>
              <w:right w:val="single" w:color="auto" w:sz="4" w:space="0"/>
            </w:tcBorders>
          </w:tcPr>
          <w:p w14:paraId="76B462AD">
            <w:pPr>
              <w:rPr>
                <w:rFonts w:ascii="宋体" w:hAnsi="宋体" w:cs="仿宋_GB2312"/>
                <w:b/>
                <w:i w:val="0"/>
                <w:iCs w:val="0"/>
                <w:color w:val="auto"/>
                <w:kern w:val="2"/>
                <w:sz w:val="24"/>
                <w:szCs w:val="24"/>
                <w:highlight w:val="none"/>
                <w:u w:val="none"/>
              </w:rPr>
            </w:pPr>
          </w:p>
        </w:tc>
      </w:tr>
      <w:tr w14:paraId="7CC8B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3AF4AB25">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tcPr>
          <w:p w14:paraId="57568A5A">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4.认真检验携带公私物品外出的出门证明和证件，检查实物并进行登记。</w:t>
            </w:r>
          </w:p>
        </w:tc>
        <w:tc>
          <w:tcPr>
            <w:tcW w:w="1065" w:type="dxa"/>
            <w:tcBorders>
              <w:top w:val="single" w:color="auto" w:sz="4" w:space="0"/>
              <w:left w:val="single" w:color="auto" w:sz="4" w:space="0"/>
              <w:bottom w:val="single" w:color="auto" w:sz="4" w:space="0"/>
              <w:right w:val="single" w:color="auto" w:sz="4" w:space="0"/>
            </w:tcBorders>
            <w:vAlign w:val="center"/>
          </w:tcPr>
          <w:p w14:paraId="2E0670D1">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w:t>
            </w:r>
          </w:p>
        </w:tc>
        <w:tc>
          <w:tcPr>
            <w:tcW w:w="709" w:type="dxa"/>
            <w:tcBorders>
              <w:top w:val="single" w:color="auto" w:sz="4" w:space="0"/>
              <w:left w:val="single" w:color="auto" w:sz="4" w:space="0"/>
              <w:bottom w:val="single" w:color="auto" w:sz="4" w:space="0"/>
              <w:right w:val="single" w:color="auto" w:sz="4" w:space="0"/>
            </w:tcBorders>
          </w:tcPr>
          <w:p w14:paraId="4822DEC3">
            <w:pPr>
              <w:rPr>
                <w:rFonts w:ascii="宋体" w:hAnsi="宋体" w:cs="仿宋_GB2312"/>
                <w:b/>
                <w:i w:val="0"/>
                <w:iCs w:val="0"/>
                <w:color w:val="auto"/>
                <w:kern w:val="2"/>
                <w:sz w:val="24"/>
                <w:szCs w:val="24"/>
                <w:highlight w:val="none"/>
                <w:u w:val="none"/>
              </w:rPr>
            </w:pPr>
          </w:p>
        </w:tc>
      </w:tr>
      <w:tr w14:paraId="25281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3BAF5964">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tcPr>
          <w:p w14:paraId="51052E9D">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5.上下班时间，进出人员较多时，双人站岗，注意车辆和行人安全。</w:t>
            </w:r>
          </w:p>
        </w:tc>
        <w:tc>
          <w:tcPr>
            <w:tcW w:w="1065" w:type="dxa"/>
            <w:tcBorders>
              <w:top w:val="single" w:color="auto" w:sz="4" w:space="0"/>
              <w:left w:val="single" w:color="auto" w:sz="4" w:space="0"/>
              <w:bottom w:val="single" w:color="auto" w:sz="4" w:space="0"/>
              <w:right w:val="single" w:color="auto" w:sz="4" w:space="0"/>
            </w:tcBorders>
            <w:vAlign w:val="center"/>
          </w:tcPr>
          <w:p w14:paraId="4EDA1C58">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w:t>
            </w:r>
          </w:p>
        </w:tc>
        <w:tc>
          <w:tcPr>
            <w:tcW w:w="709" w:type="dxa"/>
            <w:tcBorders>
              <w:top w:val="single" w:color="auto" w:sz="4" w:space="0"/>
              <w:left w:val="single" w:color="auto" w:sz="4" w:space="0"/>
              <w:bottom w:val="single" w:color="auto" w:sz="4" w:space="0"/>
              <w:right w:val="single" w:color="auto" w:sz="4" w:space="0"/>
            </w:tcBorders>
          </w:tcPr>
          <w:p w14:paraId="207E379C">
            <w:pPr>
              <w:rPr>
                <w:rFonts w:ascii="宋体" w:hAnsi="宋体" w:cs="仿宋_GB2312"/>
                <w:b/>
                <w:i w:val="0"/>
                <w:iCs w:val="0"/>
                <w:color w:val="auto"/>
                <w:kern w:val="2"/>
                <w:sz w:val="24"/>
                <w:szCs w:val="24"/>
                <w:highlight w:val="none"/>
                <w:u w:val="none"/>
              </w:rPr>
            </w:pPr>
          </w:p>
        </w:tc>
      </w:tr>
      <w:tr w14:paraId="565E5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0DB18CC8">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tcPr>
          <w:p w14:paraId="6F728582">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6.爱护公物设施，管理好电动门控制器，禁止非值班人员随意启动开关大门。</w:t>
            </w:r>
          </w:p>
        </w:tc>
        <w:tc>
          <w:tcPr>
            <w:tcW w:w="1065" w:type="dxa"/>
            <w:tcBorders>
              <w:top w:val="single" w:color="auto" w:sz="4" w:space="0"/>
              <w:left w:val="single" w:color="auto" w:sz="4" w:space="0"/>
              <w:bottom w:val="single" w:color="auto" w:sz="4" w:space="0"/>
              <w:right w:val="single" w:color="auto" w:sz="4" w:space="0"/>
            </w:tcBorders>
            <w:vAlign w:val="center"/>
          </w:tcPr>
          <w:p w14:paraId="1778B68D">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w:t>
            </w:r>
          </w:p>
        </w:tc>
        <w:tc>
          <w:tcPr>
            <w:tcW w:w="709" w:type="dxa"/>
            <w:tcBorders>
              <w:top w:val="single" w:color="auto" w:sz="4" w:space="0"/>
              <w:left w:val="single" w:color="auto" w:sz="4" w:space="0"/>
              <w:bottom w:val="single" w:color="auto" w:sz="4" w:space="0"/>
              <w:right w:val="single" w:color="auto" w:sz="4" w:space="0"/>
            </w:tcBorders>
          </w:tcPr>
          <w:p w14:paraId="0D000F79">
            <w:pPr>
              <w:rPr>
                <w:rFonts w:ascii="宋体" w:hAnsi="宋体" w:cs="仿宋_GB2312"/>
                <w:b/>
                <w:i w:val="0"/>
                <w:iCs w:val="0"/>
                <w:color w:val="auto"/>
                <w:kern w:val="2"/>
                <w:sz w:val="24"/>
                <w:szCs w:val="24"/>
                <w:highlight w:val="none"/>
                <w:u w:val="none"/>
              </w:rPr>
            </w:pPr>
          </w:p>
        </w:tc>
      </w:tr>
      <w:tr w14:paraId="40254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7D24186E">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tcPr>
          <w:p w14:paraId="6CCA1EF5">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7.认真填写交接班登记，按时交接班，清扫值班室内外卫生，保持工作环境整洁，保管好公共设施及物品。</w:t>
            </w:r>
          </w:p>
        </w:tc>
        <w:tc>
          <w:tcPr>
            <w:tcW w:w="1065" w:type="dxa"/>
            <w:tcBorders>
              <w:top w:val="single" w:color="auto" w:sz="4" w:space="0"/>
              <w:left w:val="single" w:color="auto" w:sz="4" w:space="0"/>
              <w:bottom w:val="single" w:color="auto" w:sz="4" w:space="0"/>
              <w:right w:val="single" w:color="auto" w:sz="4" w:space="0"/>
            </w:tcBorders>
            <w:vAlign w:val="center"/>
          </w:tcPr>
          <w:p w14:paraId="21128588">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w:t>
            </w:r>
          </w:p>
        </w:tc>
        <w:tc>
          <w:tcPr>
            <w:tcW w:w="709" w:type="dxa"/>
            <w:tcBorders>
              <w:top w:val="single" w:color="auto" w:sz="4" w:space="0"/>
              <w:left w:val="single" w:color="auto" w:sz="4" w:space="0"/>
              <w:bottom w:val="single" w:color="auto" w:sz="4" w:space="0"/>
              <w:right w:val="single" w:color="auto" w:sz="4" w:space="0"/>
            </w:tcBorders>
          </w:tcPr>
          <w:p w14:paraId="5E9974DE">
            <w:pPr>
              <w:rPr>
                <w:rFonts w:ascii="宋体" w:hAnsi="宋体" w:cs="仿宋_GB2312"/>
                <w:b/>
                <w:i w:val="0"/>
                <w:iCs w:val="0"/>
                <w:color w:val="auto"/>
                <w:kern w:val="2"/>
                <w:sz w:val="24"/>
                <w:szCs w:val="24"/>
                <w:highlight w:val="none"/>
                <w:u w:val="none"/>
              </w:rPr>
            </w:pPr>
          </w:p>
        </w:tc>
      </w:tr>
      <w:tr w14:paraId="3A35B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711E1F73">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tcPr>
          <w:p w14:paraId="2BA97192">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8.熟悉车辆管理系统使用与日常维护，有不能解决的问题及时报告管理人员处理。</w:t>
            </w:r>
          </w:p>
        </w:tc>
        <w:tc>
          <w:tcPr>
            <w:tcW w:w="1065" w:type="dxa"/>
            <w:tcBorders>
              <w:top w:val="single" w:color="auto" w:sz="4" w:space="0"/>
              <w:left w:val="single" w:color="auto" w:sz="4" w:space="0"/>
              <w:bottom w:val="single" w:color="auto" w:sz="4" w:space="0"/>
              <w:right w:val="single" w:color="auto" w:sz="4" w:space="0"/>
            </w:tcBorders>
            <w:vAlign w:val="center"/>
          </w:tcPr>
          <w:p w14:paraId="1E76AC02">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w:t>
            </w:r>
          </w:p>
        </w:tc>
        <w:tc>
          <w:tcPr>
            <w:tcW w:w="709" w:type="dxa"/>
            <w:tcBorders>
              <w:top w:val="single" w:color="auto" w:sz="4" w:space="0"/>
              <w:left w:val="single" w:color="auto" w:sz="4" w:space="0"/>
              <w:bottom w:val="single" w:color="auto" w:sz="4" w:space="0"/>
              <w:right w:val="single" w:color="auto" w:sz="4" w:space="0"/>
            </w:tcBorders>
          </w:tcPr>
          <w:p w14:paraId="49B18485">
            <w:pPr>
              <w:rPr>
                <w:rFonts w:ascii="宋体" w:hAnsi="宋体" w:cs="仿宋_GB2312"/>
                <w:b/>
                <w:i w:val="0"/>
                <w:iCs w:val="0"/>
                <w:color w:val="auto"/>
                <w:kern w:val="2"/>
                <w:sz w:val="24"/>
                <w:szCs w:val="24"/>
                <w:highlight w:val="none"/>
                <w:u w:val="none"/>
              </w:rPr>
            </w:pPr>
          </w:p>
        </w:tc>
      </w:tr>
      <w:tr w14:paraId="6815B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3A355F91">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tcPr>
          <w:p w14:paraId="2CA00F20">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9.熟悉各种灭火器的性能及使用方法，了解岗位附近消防设施部位。</w:t>
            </w:r>
          </w:p>
        </w:tc>
        <w:tc>
          <w:tcPr>
            <w:tcW w:w="1065" w:type="dxa"/>
            <w:tcBorders>
              <w:top w:val="single" w:color="auto" w:sz="4" w:space="0"/>
              <w:left w:val="single" w:color="auto" w:sz="4" w:space="0"/>
              <w:bottom w:val="single" w:color="auto" w:sz="4" w:space="0"/>
              <w:right w:val="single" w:color="auto" w:sz="4" w:space="0"/>
            </w:tcBorders>
            <w:vAlign w:val="center"/>
          </w:tcPr>
          <w:p w14:paraId="1371031D">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w:t>
            </w:r>
          </w:p>
        </w:tc>
        <w:tc>
          <w:tcPr>
            <w:tcW w:w="709" w:type="dxa"/>
            <w:tcBorders>
              <w:top w:val="single" w:color="auto" w:sz="4" w:space="0"/>
              <w:left w:val="single" w:color="auto" w:sz="4" w:space="0"/>
              <w:bottom w:val="single" w:color="auto" w:sz="4" w:space="0"/>
              <w:right w:val="single" w:color="auto" w:sz="4" w:space="0"/>
            </w:tcBorders>
          </w:tcPr>
          <w:p w14:paraId="719123C2">
            <w:pPr>
              <w:rPr>
                <w:rFonts w:ascii="宋体" w:hAnsi="宋体" w:cs="仿宋_GB2312"/>
                <w:b/>
                <w:i w:val="0"/>
                <w:iCs w:val="0"/>
                <w:color w:val="auto"/>
                <w:kern w:val="2"/>
                <w:sz w:val="24"/>
                <w:szCs w:val="24"/>
                <w:highlight w:val="none"/>
                <w:u w:val="none"/>
              </w:rPr>
            </w:pPr>
          </w:p>
        </w:tc>
      </w:tr>
      <w:tr w14:paraId="2F7C4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restart"/>
            <w:tcBorders>
              <w:top w:val="nil"/>
              <w:left w:val="single" w:color="auto" w:sz="4" w:space="0"/>
              <w:bottom w:val="single" w:color="auto" w:sz="4" w:space="0"/>
              <w:right w:val="single" w:color="auto" w:sz="4" w:space="0"/>
            </w:tcBorders>
            <w:vAlign w:val="center"/>
          </w:tcPr>
          <w:p w14:paraId="249F6423">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巡</w:t>
            </w:r>
          </w:p>
          <w:p w14:paraId="11D164B1">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逻</w:t>
            </w:r>
          </w:p>
          <w:p w14:paraId="291082D7">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岗</w:t>
            </w:r>
          </w:p>
          <w:p w14:paraId="79782FD8">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位</w:t>
            </w:r>
          </w:p>
          <w:p w14:paraId="12D06516">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（25分）</w:t>
            </w:r>
          </w:p>
        </w:tc>
        <w:tc>
          <w:tcPr>
            <w:tcW w:w="6388" w:type="dxa"/>
            <w:tcBorders>
              <w:top w:val="single" w:color="auto" w:sz="4" w:space="0"/>
              <w:left w:val="single" w:color="auto" w:sz="4" w:space="0"/>
              <w:bottom w:val="single" w:color="auto" w:sz="4" w:space="0"/>
              <w:right w:val="single" w:color="auto" w:sz="4" w:space="0"/>
            </w:tcBorders>
          </w:tcPr>
          <w:p w14:paraId="5FC2BAF5">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1.主要任务是学校内的重点要害及防火重点部位的巡逻和检查，维护校园秩序，保障师生生命财产不受侵害。</w:t>
            </w:r>
          </w:p>
        </w:tc>
        <w:tc>
          <w:tcPr>
            <w:tcW w:w="1065" w:type="dxa"/>
            <w:tcBorders>
              <w:top w:val="single" w:color="auto" w:sz="4" w:space="0"/>
              <w:left w:val="single" w:color="auto" w:sz="4" w:space="0"/>
              <w:bottom w:val="single" w:color="auto" w:sz="4" w:space="0"/>
              <w:right w:val="single" w:color="auto" w:sz="4" w:space="0"/>
            </w:tcBorders>
            <w:vAlign w:val="center"/>
          </w:tcPr>
          <w:p w14:paraId="4C8B2B29">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w:t>
            </w:r>
          </w:p>
        </w:tc>
        <w:tc>
          <w:tcPr>
            <w:tcW w:w="709" w:type="dxa"/>
            <w:tcBorders>
              <w:top w:val="single" w:color="auto" w:sz="4" w:space="0"/>
              <w:left w:val="single" w:color="auto" w:sz="4" w:space="0"/>
              <w:bottom w:val="single" w:color="auto" w:sz="4" w:space="0"/>
              <w:right w:val="single" w:color="auto" w:sz="4" w:space="0"/>
            </w:tcBorders>
          </w:tcPr>
          <w:p w14:paraId="12039BCA">
            <w:pPr>
              <w:rPr>
                <w:rFonts w:ascii="宋体" w:hAnsi="宋体" w:cs="仿宋_GB2312"/>
                <w:b/>
                <w:i w:val="0"/>
                <w:iCs w:val="0"/>
                <w:color w:val="auto"/>
                <w:kern w:val="2"/>
                <w:sz w:val="24"/>
                <w:szCs w:val="24"/>
                <w:highlight w:val="none"/>
                <w:u w:val="none"/>
              </w:rPr>
            </w:pPr>
          </w:p>
        </w:tc>
      </w:tr>
      <w:tr w14:paraId="20E98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4E3C7053">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tcPr>
          <w:p w14:paraId="7FAE0AFF">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2.必须按规定时间和路线巡逻，爱护警具装备，并认真做好巡逻工作记录。</w:t>
            </w:r>
          </w:p>
        </w:tc>
        <w:tc>
          <w:tcPr>
            <w:tcW w:w="1065" w:type="dxa"/>
            <w:tcBorders>
              <w:top w:val="single" w:color="auto" w:sz="4" w:space="0"/>
              <w:left w:val="single" w:color="auto" w:sz="4" w:space="0"/>
              <w:bottom w:val="single" w:color="auto" w:sz="4" w:space="0"/>
              <w:right w:val="single" w:color="auto" w:sz="4" w:space="0"/>
            </w:tcBorders>
            <w:vAlign w:val="center"/>
          </w:tcPr>
          <w:p w14:paraId="52E8D996">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4</w:t>
            </w:r>
          </w:p>
        </w:tc>
        <w:tc>
          <w:tcPr>
            <w:tcW w:w="709" w:type="dxa"/>
            <w:tcBorders>
              <w:top w:val="single" w:color="auto" w:sz="4" w:space="0"/>
              <w:left w:val="single" w:color="auto" w:sz="4" w:space="0"/>
              <w:bottom w:val="single" w:color="auto" w:sz="4" w:space="0"/>
              <w:right w:val="single" w:color="auto" w:sz="4" w:space="0"/>
            </w:tcBorders>
          </w:tcPr>
          <w:p w14:paraId="49F0408F">
            <w:pPr>
              <w:rPr>
                <w:rFonts w:ascii="宋体" w:hAnsi="宋体" w:cs="仿宋_GB2312"/>
                <w:b/>
                <w:i w:val="0"/>
                <w:iCs w:val="0"/>
                <w:color w:val="auto"/>
                <w:kern w:val="2"/>
                <w:sz w:val="24"/>
                <w:szCs w:val="24"/>
                <w:highlight w:val="none"/>
                <w:u w:val="none"/>
              </w:rPr>
            </w:pPr>
          </w:p>
        </w:tc>
      </w:tr>
      <w:tr w14:paraId="4628B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3A97FBB8">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tcPr>
          <w:p w14:paraId="73A0911D">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3.值勤时要遵守工作纪律，不得擅离职守，迟到早退。保持服装统一，步调一致，文明礼貌，不准随意使用警具。</w:t>
            </w:r>
          </w:p>
        </w:tc>
        <w:tc>
          <w:tcPr>
            <w:tcW w:w="1065" w:type="dxa"/>
            <w:tcBorders>
              <w:top w:val="single" w:color="auto" w:sz="4" w:space="0"/>
              <w:left w:val="single" w:color="auto" w:sz="4" w:space="0"/>
              <w:bottom w:val="single" w:color="auto" w:sz="4" w:space="0"/>
              <w:right w:val="single" w:color="auto" w:sz="4" w:space="0"/>
            </w:tcBorders>
            <w:vAlign w:val="center"/>
          </w:tcPr>
          <w:p w14:paraId="71EC0C7A">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w:t>
            </w:r>
          </w:p>
        </w:tc>
        <w:tc>
          <w:tcPr>
            <w:tcW w:w="709" w:type="dxa"/>
            <w:tcBorders>
              <w:top w:val="single" w:color="auto" w:sz="4" w:space="0"/>
              <w:left w:val="single" w:color="auto" w:sz="4" w:space="0"/>
              <w:bottom w:val="single" w:color="auto" w:sz="4" w:space="0"/>
              <w:right w:val="single" w:color="auto" w:sz="4" w:space="0"/>
            </w:tcBorders>
          </w:tcPr>
          <w:p w14:paraId="07A7A9C5">
            <w:pPr>
              <w:rPr>
                <w:rFonts w:ascii="宋体" w:hAnsi="宋体" w:cs="仿宋_GB2312"/>
                <w:b/>
                <w:i w:val="0"/>
                <w:iCs w:val="0"/>
                <w:color w:val="auto"/>
                <w:kern w:val="2"/>
                <w:sz w:val="24"/>
                <w:szCs w:val="24"/>
                <w:highlight w:val="none"/>
                <w:u w:val="none"/>
              </w:rPr>
            </w:pPr>
          </w:p>
        </w:tc>
      </w:tr>
      <w:tr w14:paraId="528FC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22297C4E">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tcPr>
          <w:p w14:paraId="2C927A4E">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4.要善于盘查可疑人员，注意发现可疑迹象，随时保持高度警惕性，及时向带班领导汇报情况。</w:t>
            </w:r>
          </w:p>
        </w:tc>
        <w:tc>
          <w:tcPr>
            <w:tcW w:w="1065" w:type="dxa"/>
            <w:tcBorders>
              <w:top w:val="single" w:color="auto" w:sz="4" w:space="0"/>
              <w:left w:val="single" w:color="auto" w:sz="4" w:space="0"/>
              <w:bottom w:val="single" w:color="auto" w:sz="4" w:space="0"/>
              <w:right w:val="single" w:color="auto" w:sz="4" w:space="0"/>
            </w:tcBorders>
            <w:vAlign w:val="center"/>
          </w:tcPr>
          <w:p w14:paraId="0A6ABE22">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4</w:t>
            </w:r>
          </w:p>
        </w:tc>
        <w:tc>
          <w:tcPr>
            <w:tcW w:w="709" w:type="dxa"/>
            <w:tcBorders>
              <w:top w:val="single" w:color="auto" w:sz="4" w:space="0"/>
              <w:left w:val="single" w:color="auto" w:sz="4" w:space="0"/>
              <w:bottom w:val="single" w:color="auto" w:sz="4" w:space="0"/>
              <w:right w:val="single" w:color="auto" w:sz="4" w:space="0"/>
            </w:tcBorders>
          </w:tcPr>
          <w:p w14:paraId="3C0CCFE1">
            <w:pPr>
              <w:rPr>
                <w:rFonts w:ascii="宋体" w:hAnsi="宋体" w:cs="仿宋_GB2312"/>
                <w:b/>
                <w:i w:val="0"/>
                <w:iCs w:val="0"/>
                <w:color w:val="auto"/>
                <w:kern w:val="2"/>
                <w:sz w:val="24"/>
                <w:szCs w:val="24"/>
                <w:highlight w:val="none"/>
                <w:u w:val="none"/>
              </w:rPr>
            </w:pPr>
          </w:p>
        </w:tc>
      </w:tr>
      <w:tr w14:paraId="43251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70D40F2B">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tcPr>
          <w:p w14:paraId="1256CF79">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5.对发生的各种意外事故要及时采取措施，不得退缩不前；对重大事故和火灾要及时报警，并报告带班领导。</w:t>
            </w:r>
          </w:p>
        </w:tc>
        <w:tc>
          <w:tcPr>
            <w:tcW w:w="1065" w:type="dxa"/>
            <w:tcBorders>
              <w:top w:val="single" w:color="auto" w:sz="4" w:space="0"/>
              <w:left w:val="single" w:color="auto" w:sz="4" w:space="0"/>
              <w:bottom w:val="single" w:color="auto" w:sz="4" w:space="0"/>
              <w:right w:val="single" w:color="auto" w:sz="4" w:space="0"/>
            </w:tcBorders>
            <w:vAlign w:val="center"/>
          </w:tcPr>
          <w:p w14:paraId="27620955">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4</w:t>
            </w:r>
          </w:p>
        </w:tc>
        <w:tc>
          <w:tcPr>
            <w:tcW w:w="709" w:type="dxa"/>
            <w:tcBorders>
              <w:top w:val="single" w:color="auto" w:sz="4" w:space="0"/>
              <w:left w:val="single" w:color="auto" w:sz="4" w:space="0"/>
              <w:bottom w:val="single" w:color="auto" w:sz="4" w:space="0"/>
              <w:right w:val="single" w:color="auto" w:sz="4" w:space="0"/>
            </w:tcBorders>
          </w:tcPr>
          <w:p w14:paraId="770CDA71">
            <w:pPr>
              <w:rPr>
                <w:rFonts w:ascii="宋体" w:hAnsi="宋体" w:cs="仿宋_GB2312"/>
                <w:b/>
                <w:i w:val="0"/>
                <w:iCs w:val="0"/>
                <w:color w:val="auto"/>
                <w:kern w:val="2"/>
                <w:sz w:val="24"/>
                <w:szCs w:val="24"/>
                <w:highlight w:val="none"/>
                <w:u w:val="none"/>
              </w:rPr>
            </w:pPr>
          </w:p>
        </w:tc>
      </w:tr>
      <w:tr w14:paraId="6129D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00BEE048">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vAlign w:val="center"/>
          </w:tcPr>
          <w:p w14:paraId="35AED29E">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6.工作中必须坚持原则，不得徇私枉法、接受贿赂等违规行为。</w:t>
            </w:r>
          </w:p>
        </w:tc>
        <w:tc>
          <w:tcPr>
            <w:tcW w:w="1065" w:type="dxa"/>
            <w:tcBorders>
              <w:top w:val="single" w:color="auto" w:sz="4" w:space="0"/>
              <w:left w:val="single" w:color="auto" w:sz="4" w:space="0"/>
              <w:bottom w:val="single" w:color="auto" w:sz="4" w:space="0"/>
              <w:right w:val="single" w:color="auto" w:sz="4" w:space="0"/>
            </w:tcBorders>
            <w:vAlign w:val="center"/>
          </w:tcPr>
          <w:p w14:paraId="0ED2D48A">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w:t>
            </w:r>
          </w:p>
        </w:tc>
        <w:tc>
          <w:tcPr>
            <w:tcW w:w="709" w:type="dxa"/>
            <w:tcBorders>
              <w:top w:val="single" w:color="auto" w:sz="4" w:space="0"/>
              <w:left w:val="single" w:color="auto" w:sz="4" w:space="0"/>
              <w:bottom w:val="single" w:color="auto" w:sz="4" w:space="0"/>
              <w:right w:val="single" w:color="auto" w:sz="4" w:space="0"/>
            </w:tcBorders>
          </w:tcPr>
          <w:p w14:paraId="4930689B">
            <w:pPr>
              <w:rPr>
                <w:rFonts w:ascii="宋体" w:hAnsi="宋体" w:cs="仿宋_GB2312"/>
                <w:b/>
                <w:i w:val="0"/>
                <w:iCs w:val="0"/>
                <w:color w:val="auto"/>
                <w:kern w:val="2"/>
                <w:sz w:val="24"/>
                <w:szCs w:val="24"/>
                <w:highlight w:val="none"/>
                <w:u w:val="none"/>
              </w:rPr>
            </w:pPr>
          </w:p>
        </w:tc>
      </w:tr>
      <w:tr w14:paraId="7965B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1E3D0BFD">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vAlign w:val="center"/>
          </w:tcPr>
          <w:p w14:paraId="27019FC2">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7.完成学校重大活动期间的安全保障任务。</w:t>
            </w:r>
          </w:p>
        </w:tc>
        <w:tc>
          <w:tcPr>
            <w:tcW w:w="1065" w:type="dxa"/>
            <w:tcBorders>
              <w:top w:val="single" w:color="auto" w:sz="4" w:space="0"/>
              <w:left w:val="single" w:color="auto" w:sz="4" w:space="0"/>
              <w:bottom w:val="single" w:color="auto" w:sz="4" w:space="0"/>
              <w:right w:val="single" w:color="auto" w:sz="4" w:space="0"/>
            </w:tcBorders>
            <w:vAlign w:val="center"/>
          </w:tcPr>
          <w:p w14:paraId="045AADD2">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4</w:t>
            </w:r>
          </w:p>
        </w:tc>
        <w:tc>
          <w:tcPr>
            <w:tcW w:w="709" w:type="dxa"/>
            <w:tcBorders>
              <w:top w:val="single" w:color="auto" w:sz="4" w:space="0"/>
              <w:left w:val="single" w:color="auto" w:sz="4" w:space="0"/>
              <w:bottom w:val="single" w:color="auto" w:sz="4" w:space="0"/>
              <w:right w:val="single" w:color="auto" w:sz="4" w:space="0"/>
            </w:tcBorders>
          </w:tcPr>
          <w:p w14:paraId="25CB0AB0">
            <w:pPr>
              <w:rPr>
                <w:rFonts w:ascii="宋体" w:hAnsi="宋体" w:cs="仿宋_GB2312"/>
                <w:b/>
                <w:i w:val="0"/>
                <w:iCs w:val="0"/>
                <w:color w:val="auto"/>
                <w:kern w:val="2"/>
                <w:sz w:val="24"/>
                <w:szCs w:val="24"/>
                <w:highlight w:val="none"/>
                <w:u w:val="none"/>
              </w:rPr>
            </w:pPr>
          </w:p>
        </w:tc>
      </w:tr>
      <w:tr w14:paraId="0738D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restart"/>
            <w:tcBorders>
              <w:top w:val="nil"/>
              <w:left w:val="single" w:color="auto" w:sz="4" w:space="0"/>
              <w:bottom w:val="single" w:color="auto" w:sz="4" w:space="0"/>
              <w:right w:val="single" w:color="auto" w:sz="4" w:space="0"/>
            </w:tcBorders>
            <w:vAlign w:val="center"/>
          </w:tcPr>
          <w:p w14:paraId="4EB6AC20">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监</w:t>
            </w:r>
          </w:p>
          <w:p w14:paraId="50F63372">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控</w:t>
            </w:r>
          </w:p>
          <w:p w14:paraId="102084DE">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指</w:t>
            </w:r>
          </w:p>
          <w:p w14:paraId="4A95F411">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挥</w:t>
            </w:r>
          </w:p>
          <w:p w14:paraId="75C10B96">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中</w:t>
            </w:r>
          </w:p>
          <w:p w14:paraId="09E66A6A">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心</w:t>
            </w:r>
          </w:p>
          <w:p w14:paraId="678D0DCB">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（20分）</w:t>
            </w:r>
          </w:p>
        </w:tc>
        <w:tc>
          <w:tcPr>
            <w:tcW w:w="6388" w:type="dxa"/>
            <w:tcBorders>
              <w:top w:val="single" w:color="auto" w:sz="4" w:space="0"/>
              <w:left w:val="single" w:color="auto" w:sz="4" w:space="0"/>
              <w:bottom w:val="single" w:color="auto" w:sz="4" w:space="0"/>
              <w:right w:val="single" w:color="auto" w:sz="4" w:space="0"/>
            </w:tcBorders>
          </w:tcPr>
          <w:p w14:paraId="295701CF">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1.值勤时要保持高度警惕，不擅离岗位，不看书报，不做私事，不与他人在岗位上和值班室闲谈嬉笑。</w:t>
            </w:r>
          </w:p>
        </w:tc>
        <w:tc>
          <w:tcPr>
            <w:tcW w:w="1065" w:type="dxa"/>
            <w:tcBorders>
              <w:top w:val="single" w:color="auto" w:sz="4" w:space="0"/>
              <w:left w:val="single" w:color="auto" w:sz="4" w:space="0"/>
              <w:bottom w:val="single" w:color="auto" w:sz="4" w:space="0"/>
              <w:right w:val="single" w:color="auto" w:sz="4" w:space="0"/>
            </w:tcBorders>
            <w:vAlign w:val="center"/>
          </w:tcPr>
          <w:p w14:paraId="09ED2C9B">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w:t>
            </w:r>
          </w:p>
        </w:tc>
        <w:tc>
          <w:tcPr>
            <w:tcW w:w="709" w:type="dxa"/>
            <w:tcBorders>
              <w:top w:val="single" w:color="auto" w:sz="4" w:space="0"/>
              <w:left w:val="single" w:color="auto" w:sz="4" w:space="0"/>
              <w:bottom w:val="single" w:color="auto" w:sz="4" w:space="0"/>
              <w:right w:val="single" w:color="auto" w:sz="4" w:space="0"/>
            </w:tcBorders>
          </w:tcPr>
          <w:p w14:paraId="6AD4F7F2">
            <w:pPr>
              <w:rPr>
                <w:rFonts w:ascii="宋体" w:hAnsi="宋体" w:cs="仿宋_GB2312"/>
                <w:b/>
                <w:i w:val="0"/>
                <w:iCs w:val="0"/>
                <w:color w:val="auto"/>
                <w:kern w:val="2"/>
                <w:sz w:val="24"/>
                <w:szCs w:val="24"/>
                <w:highlight w:val="none"/>
                <w:u w:val="none"/>
              </w:rPr>
            </w:pPr>
          </w:p>
        </w:tc>
      </w:tr>
      <w:tr w14:paraId="1EF0E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2B8CAE1A">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vAlign w:val="center"/>
          </w:tcPr>
          <w:p w14:paraId="4EFFEAB8">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2.受理校园内各类报警、求助，并认真做好当班记录。</w:t>
            </w:r>
          </w:p>
        </w:tc>
        <w:tc>
          <w:tcPr>
            <w:tcW w:w="1065" w:type="dxa"/>
            <w:tcBorders>
              <w:top w:val="single" w:color="auto" w:sz="4" w:space="0"/>
              <w:left w:val="single" w:color="auto" w:sz="4" w:space="0"/>
              <w:bottom w:val="single" w:color="auto" w:sz="4" w:space="0"/>
              <w:right w:val="single" w:color="auto" w:sz="4" w:space="0"/>
            </w:tcBorders>
            <w:vAlign w:val="center"/>
          </w:tcPr>
          <w:p w14:paraId="4ADC756D">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w:t>
            </w:r>
          </w:p>
        </w:tc>
        <w:tc>
          <w:tcPr>
            <w:tcW w:w="709" w:type="dxa"/>
            <w:tcBorders>
              <w:top w:val="single" w:color="auto" w:sz="4" w:space="0"/>
              <w:left w:val="single" w:color="auto" w:sz="4" w:space="0"/>
              <w:bottom w:val="single" w:color="auto" w:sz="4" w:space="0"/>
              <w:right w:val="single" w:color="auto" w:sz="4" w:space="0"/>
            </w:tcBorders>
          </w:tcPr>
          <w:p w14:paraId="0691B59C">
            <w:pPr>
              <w:rPr>
                <w:rFonts w:ascii="宋体" w:hAnsi="宋体" w:cs="仿宋_GB2312"/>
                <w:b/>
                <w:i w:val="0"/>
                <w:iCs w:val="0"/>
                <w:color w:val="auto"/>
                <w:kern w:val="2"/>
                <w:sz w:val="24"/>
                <w:szCs w:val="24"/>
                <w:highlight w:val="none"/>
                <w:u w:val="none"/>
              </w:rPr>
            </w:pPr>
          </w:p>
        </w:tc>
      </w:tr>
      <w:tr w14:paraId="46300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1A054F45">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tcPr>
          <w:p w14:paraId="58BECBC7">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3.协调处理当班的一般警情，并及时报告值班干部，重大事件立即上报或报110指挥中心。</w:t>
            </w:r>
          </w:p>
        </w:tc>
        <w:tc>
          <w:tcPr>
            <w:tcW w:w="1065" w:type="dxa"/>
            <w:tcBorders>
              <w:top w:val="single" w:color="auto" w:sz="4" w:space="0"/>
              <w:left w:val="single" w:color="auto" w:sz="4" w:space="0"/>
              <w:bottom w:val="single" w:color="auto" w:sz="4" w:space="0"/>
              <w:right w:val="single" w:color="auto" w:sz="4" w:space="0"/>
            </w:tcBorders>
            <w:vAlign w:val="center"/>
          </w:tcPr>
          <w:p w14:paraId="2A9C7699">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w:t>
            </w:r>
          </w:p>
        </w:tc>
        <w:tc>
          <w:tcPr>
            <w:tcW w:w="709" w:type="dxa"/>
            <w:tcBorders>
              <w:top w:val="single" w:color="auto" w:sz="4" w:space="0"/>
              <w:left w:val="single" w:color="auto" w:sz="4" w:space="0"/>
              <w:bottom w:val="single" w:color="auto" w:sz="4" w:space="0"/>
              <w:right w:val="single" w:color="auto" w:sz="4" w:space="0"/>
            </w:tcBorders>
          </w:tcPr>
          <w:p w14:paraId="4F7E953C">
            <w:pPr>
              <w:rPr>
                <w:rFonts w:ascii="宋体" w:hAnsi="宋体" w:cs="仿宋_GB2312"/>
                <w:b/>
                <w:i w:val="0"/>
                <w:iCs w:val="0"/>
                <w:color w:val="auto"/>
                <w:kern w:val="2"/>
                <w:sz w:val="24"/>
                <w:szCs w:val="24"/>
                <w:highlight w:val="none"/>
                <w:u w:val="none"/>
              </w:rPr>
            </w:pPr>
          </w:p>
        </w:tc>
      </w:tr>
      <w:tr w14:paraId="7D35A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3C8FD24A">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tcPr>
          <w:p w14:paraId="74832AE9">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4.值班员熟悉工作设备，能熟练操作监控设施，做好工作日志。</w:t>
            </w:r>
          </w:p>
        </w:tc>
        <w:tc>
          <w:tcPr>
            <w:tcW w:w="1065" w:type="dxa"/>
            <w:tcBorders>
              <w:top w:val="single" w:color="auto" w:sz="4" w:space="0"/>
              <w:left w:val="single" w:color="auto" w:sz="4" w:space="0"/>
              <w:bottom w:val="single" w:color="auto" w:sz="4" w:space="0"/>
              <w:right w:val="single" w:color="auto" w:sz="4" w:space="0"/>
            </w:tcBorders>
            <w:vAlign w:val="center"/>
          </w:tcPr>
          <w:p w14:paraId="6712182A">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w:t>
            </w:r>
          </w:p>
        </w:tc>
        <w:tc>
          <w:tcPr>
            <w:tcW w:w="709" w:type="dxa"/>
            <w:tcBorders>
              <w:top w:val="single" w:color="auto" w:sz="4" w:space="0"/>
              <w:left w:val="single" w:color="auto" w:sz="4" w:space="0"/>
              <w:bottom w:val="single" w:color="auto" w:sz="4" w:space="0"/>
              <w:right w:val="single" w:color="auto" w:sz="4" w:space="0"/>
            </w:tcBorders>
          </w:tcPr>
          <w:p w14:paraId="3C35F646">
            <w:pPr>
              <w:rPr>
                <w:rFonts w:ascii="宋体" w:hAnsi="宋体" w:cs="仿宋_GB2312"/>
                <w:b/>
                <w:i w:val="0"/>
                <w:iCs w:val="0"/>
                <w:color w:val="auto"/>
                <w:kern w:val="2"/>
                <w:sz w:val="24"/>
                <w:szCs w:val="24"/>
                <w:highlight w:val="none"/>
                <w:u w:val="none"/>
              </w:rPr>
            </w:pPr>
          </w:p>
        </w:tc>
      </w:tr>
      <w:tr w14:paraId="293F7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0F6C95C5">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tcPr>
          <w:p w14:paraId="53BA594B">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5.爱护公共财物，甲方移交资产有专人负责管理，保持室内卫生，保持工作环境整洁。</w:t>
            </w:r>
          </w:p>
        </w:tc>
        <w:tc>
          <w:tcPr>
            <w:tcW w:w="1065" w:type="dxa"/>
            <w:tcBorders>
              <w:top w:val="single" w:color="auto" w:sz="4" w:space="0"/>
              <w:left w:val="single" w:color="auto" w:sz="4" w:space="0"/>
              <w:bottom w:val="single" w:color="auto" w:sz="4" w:space="0"/>
              <w:right w:val="single" w:color="auto" w:sz="4" w:space="0"/>
            </w:tcBorders>
            <w:vAlign w:val="center"/>
          </w:tcPr>
          <w:p w14:paraId="2F006AF6">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w:t>
            </w:r>
          </w:p>
        </w:tc>
        <w:tc>
          <w:tcPr>
            <w:tcW w:w="709" w:type="dxa"/>
            <w:tcBorders>
              <w:top w:val="single" w:color="auto" w:sz="4" w:space="0"/>
              <w:left w:val="single" w:color="auto" w:sz="4" w:space="0"/>
              <w:bottom w:val="single" w:color="auto" w:sz="4" w:space="0"/>
              <w:right w:val="single" w:color="auto" w:sz="4" w:space="0"/>
            </w:tcBorders>
          </w:tcPr>
          <w:p w14:paraId="3E143B9B">
            <w:pPr>
              <w:rPr>
                <w:rFonts w:ascii="宋体" w:hAnsi="宋体" w:cs="仿宋_GB2312"/>
                <w:b/>
                <w:i w:val="0"/>
                <w:iCs w:val="0"/>
                <w:color w:val="auto"/>
                <w:kern w:val="2"/>
                <w:sz w:val="24"/>
                <w:szCs w:val="24"/>
                <w:highlight w:val="none"/>
                <w:u w:val="none"/>
              </w:rPr>
            </w:pPr>
          </w:p>
        </w:tc>
      </w:tr>
      <w:tr w14:paraId="04DB2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0249D4FE">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vAlign w:val="center"/>
          </w:tcPr>
          <w:p w14:paraId="657CC81F">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6.值班时间不接待外来人员，不做与工作无关的事情。禁止无关人员进入监控室。严格注视监控录像，发现可疑情况及时上报。</w:t>
            </w:r>
          </w:p>
        </w:tc>
        <w:tc>
          <w:tcPr>
            <w:tcW w:w="1065" w:type="dxa"/>
            <w:tcBorders>
              <w:top w:val="single" w:color="auto" w:sz="4" w:space="0"/>
              <w:left w:val="single" w:color="auto" w:sz="4" w:space="0"/>
              <w:bottom w:val="single" w:color="auto" w:sz="4" w:space="0"/>
              <w:right w:val="single" w:color="auto" w:sz="4" w:space="0"/>
            </w:tcBorders>
            <w:vAlign w:val="center"/>
          </w:tcPr>
          <w:p w14:paraId="7F1641C6">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w:t>
            </w:r>
          </w:p>
        </w:tc>
        <w:tc>
          <w:tcPr>
            <w:tcW w:w="709" w:type="dxa"/>
            <w:tcBorders>
              <w:top w:val="single" w:color="auto" w:sz="4" w:space="0"/>
              <w:left w:val="single" w:color="auto" w:sz="4" w:space="0"/>
              <w:bottom w:val="single" w:color="auto" w:sz="4" w:space="0"/>
              <w:right w:val="single" w:color="auto" w:sz="4" w:space="0"/>
            </w:tcBorders>
          </w:tcPr>
          <w:p w14:paraId="13E64B15">
            <w:pPr>
              <w:rPr>
                <w:rFonts w:ascii="宋体" w:hAnsi="宋体" w:cs="仿宋_GB2312"/>
                <w:b/>
                <w:i w:val="0"/>
                <w:iCs w:val="0"/>
                <w:color w:val="auto"/>
                <w:kern w:val="2"/>
                <w:sz w:val="24"/>
                <w:szCs w:val="24"/>
                <w:highlight w:val="none"/>
                <w:u w:val="none"/>
              </w:rPr>
            </w:pPr>
          </w:p>
        </w:tc>
      </w:tr>
      <w:tr w14:paraId="17E79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6729B398">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vAlign w:val="center"/>
          </w:tcPr>
          <w:p w14:paraId="45DBC86D">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7.认真填写交接班记录，按时交接班。</w:t>
            </w:r>
          </w:p>
        </w:tc>
        <w:tc>
          <w:tcPr>
            <w:tcW w:w="1065" w:type="dxa"/>
            <w:tcBorders>
              <w:top w:val="single" w:color="auto" w:sz="4" w:space="0"/>
              <w:left w:val="single" w:color="auto" w:sz="4" w:space="0"/>
              <w:bottom w:val="single" w:color="auto" w:sz="4" w:space="0"/>
              <w:right w:val="single" w:color="auto" w:sz="4" w:space="0"/>
            </w:tcBorders>
            <w:vAlign w:val="center"/>
          </w:tcPr>
          <w:p w14:paraId="1BA4E141">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w:t>
            </w:r>
          </w:p>
        </w:tc>
        <w:tc>
          <w:tcPr>
            <w:tcW w:w="709" w:type="dxa"/>
            <w:tcBorders>
              <w:top w:val="single" w:color="auto" w:sz="4" w:space="0"/>
              <w:left w:val="single" w:color="auto" w:sz="4" w:space="0"/>
              <w:bottom w:val="single" w:color="auto" w:sz="4" w:space="0"/>
              <w:right w:val="single" w:color="auto" w:sz="4" w:space="0"/>
            </w:tcBorders>
          </w:tcPr>
          <w:p w14:paraId="1F62446C">
            <w:pPr>
              <w:rPr>
                <w:rFonts w:ascii="宋体" w:hAnsi="宋体" w:cs="仿宋_GB2312"/>
                <w:b/>
                <w:i w:val="0"/>
                <w:iCs w:val="0"/>
                <w:color w:val="auto"/>
                <w:kern w:val="2"/>
                <w:sz w:val="24"/>
                <w:szCs w:val="24"/>
                <w:highlight w:val="none"/>
                <w:u w:val="none"/>
              </w:rPr>
            </w:pPr>
          </w:p>
        </w:tc>
      </w:tr>
      <w:tr w14:paraId="05BFC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restart"/>
            <w:tcBorders>
              <w:top w:val="nil"/>
              <w:left w:val="single" w:color="auto" w:sz="4" w:space="0"/>
              <w:bottom w:val="single" w:color="auto" w:sz="4" w:space="0"/>
              <w:right w:val="single" w:color="auto" w:sz="4" w:space="0"/>
            </w:tcBorders>
            <w:vAlign w:val="center"/>
          </w:tcPr>
          <w:p w14:paraId="2A11FB5A">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行</w:t>
            </w:r>
          </w:p>
          <w:p w14:paraId="0EE4767A">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政</w:t>
            </w:r>
          </w:p>
          <w:p w14:paraId="6DA1E46F">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楼</w:t>
            </w:r>
          </w:p>
          <w:p w14:paraId="76C5666A">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门</w:t>
            </w:r>
          </w:p>
          <w:p w14:paraId="0DF6E686">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岗</w:t>
            </w:r>
          </w:p>
          <w:p w14:paraId="53F65974">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（10分）</w:t>
            </w:r>
          </w:p>
        </w:tc>
        <w:tc>
          <w:tcPr>
            <w:tcW w:w="6388" w:type="dxa"/>
            <w:tcBorders>
              <w:top w:val="single" w:color="auto" w:sz="4" w:space="0"/>
              <w:left w:val="single" w:color="auto" w:sz="4" w:space="0"/>
              <w:bottom w:val="single" w:color="auto" w:sz="4" w:space="0"/>
              <w:right w:val="single" w:color="auto" w:sz="4" w:space="0"/>
            </w:tcBorders>
          </w:tcPr>
          <w:p w14:paraId="2CD28884">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1.认真执行行政楼管理制度，熟悉楼内机关处室分布，保证机关正常办公秩序，做好行政楼安全保卫工作。</w:t>
            </w:r>
          </w:p>
        </w:tc>
        <w:tc>
          <w:tcPr>
            <w:tcW w:w="1065" w:type="dxa"/>
            <w:tcBorders>
              <w:top w:val="single" w:color="auto" w:sz="4" w:space="0"/>
              <w:left w:val="single" w:color="auto" w:sz="4" w:space="0"/>
              <w:bottom w:val="single" w:color="auto" w:sz="4" w:space="0"/>
              <w:right w:val="single" w:color="auto" w:sz="4" w:space="0"/>
            </w:tcBorders>
            <w:vAlign w:val="center"/>
          </w:tcPr>
          <w:p w14:paraId="23CBED79">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1</w:t>
            </w:r>
          </w:p>
        </w:tc>
        <w:tc>
          <w:tcPr>
            <w:tcW w:w="709" w:type="dxa"/>
            <w:tcBorders>
              <w:top w:val="single" w:color="auto" w:sz="4" w:space="0"/>
              <w:left w:val="single" w:color="auto" w:sz="4" w:space="0"/>
              <w:bottom w:val="single" w:color="auto" w:sz="4" w:space="0"/>
              <w:right w:val="single" w:color="auto" w:sz="4" w:space="0"/>
            </w:tcBorders>
          </w:tcPr>
          <w:p w14:paraId="6161F34D">
            <w:pPr>
              <w:rPr>
                <w:rFonts w:ascii="宋体" w:hAnsi="宋体" w:cs="仿宋_GB2312"/>
                <w:b/>
                <w:i w:val="0"/>
                <w:iCs w:val="0"/>
                <w:color w:val="auto"/>
                <w:kern w:val="2"/>
                <w:sz w:val="24"/>
                <w:szCs w:val="24"/>
                <w:highlight w:val="none"/>
                <w:u w:val="none"/>
              </w:rPr>
            </w:pPr>
          </w:p>
        </w:tc>
      </w:tr>
      <w:tr w14:paraId="540D4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287297EC">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tcPr>
          <w:p w14:paraId="4F3AF8F3">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2.值勤时要保持高度警惕，不擅离岗位，不看书报，不做私事，不与他人在岗位上和值班室闲谈嬉笑。</w:t>
            </w:r>
          </w:p>
        </w:tc>
        <w:tc>
          <w:tcPr>
            <w:tcW w:w="1065" w:type="dxa"/>
            <w:tcBorders>
              <w:top w:val="single" w:color="auto" w:sz="4" w:space="0"/>
              <w:left w:val="single" w:color="auto" w:sz="4" w:space="0"/>
              <w:bottom w:val="single" w:color="auto" w:sz="4" w:space="0"/>
              <w:right w:val="single" w:color="auto" w:sz="4" w:space="0"/>
            </w:tcBorders>
            <w:vAlign w:val="center"/>
          </w:tcPr>
          <w:p w14:paraId="246D4F4E">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w:t>
            </w:r>
          </w:p>
        </w:tc>
        <w:tc>
          <w:tcPr>
            <w:tcW w:w="709" w:type="dxa"/>
            <w:tcBorders>
              <w:top w:val="single" w:color="auto" w:sz="4" w:space="0"/>
              <w:left w:val="single" w:color="auto" w:sz="4" w:space="0"/>
              <w:bottom w:val="single" w:color="auto" w:sz="4" w:space="0"/>
              <w:right w:val="single" w:color="auto" w:sz="4" w:space="0"/>
            </w:tcBorders>
          </w:tcPr>
          <w:p w14:paraId="108832B0">
            <w:pPr>
              <w:rPr>
                <w:rFonts w:ascii="宋体" w:hAnsi="宋体" w:cs="仿宋_GB2312"/>
                <w:b/>
                <w:i w:val="0"/>
                <w:iCs w:val="0"/>
                <w:color w:val="auto"/>
                <w:kern w:val="2"/>
                <w:sz w:val="24"/>
                <w:szCs w:val="24"/>
                <w:highlight w:val="none"/>
                <w:u w:val="none"/>
              </w:rPr>
            </w:pPr>
          </w:p>
        </w:tc>
      </w:tr>
      <w:tr w14:paraId="4FDD7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1D07E584">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tcPr>
          <w:p w14:paraId="52FCB917">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3.值勤时要着装整齐，姿态端正，文明待客，态度热情。负责行政楼外来人员的盘查、登记、接待和联络。</w:t>
            </w:r>
          </w:p>
        </w:tc>
        <w:tc>
          <w:tcPr>
            <w:tcW w:w="1065" w:type="dxa"/>
            <w:tcBorders>
              <w:top w:val="single" w:color="auto" w:sz="4" w:space="0"/>
              <w:left w:val="single" w:color="auto" w:sz="4" w:space="0"/>
              <w:bottom w:val="single" w:color="auto" w:sz="4" w:space="0"/>
              <w:right w:val="single" w:color="auto" w:sz="4" w:space="0"/>
            </w:tcBorders>
            <w:vAlign w:val="center"/>
          </w:tcPr>
          <w:p w14:paraId="445593C7">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w:t>
            </w:r>
          </w:p>
        </w:tc>
        <w:tc>
          <w:tcPr>
            <w:tcW w:w="709" w:type="dxa"/>
            <w:tcBorders>
              <w:top w:val="single" w:color="auto" w:sz="4" w:space="0"/>
              <w:left w:val="single" w:color="auto" w:sz="4" w:space="0"/>
              <w:bottom w:val="single" w:color="auto" w:sz="4" w:space="0"/>
              <w:right w:val="single" w:color="auto" w:sz="4" w:space="0"/>
            </w:tcBorders>
          </w:tcPr>
          <w:p w14:paraId="22130CC4">
            <w:pPr>
              <w:rPr>
                <w:rFonts w:ascii="宋体" w:hAnsi="宋体" w:cs="仿宋_GB2312"/>
                <w:b/>
                <w:i w:val="0"/>
                <w:iCs w:val="0"/>
                <w:color w:val="auto"/>
                <w:kern w:val="2"/>
                <w:sz w:val="24"/>
                <w:szCs w:val="24"/>
                <w:highlight w:val="none"/>
                <w:u w:val="none"/>
              </w:rPr>
            </w:pPr>
          </w:p>
        </w:tc>
      </w:tr>
      <w:tr w14:paraId="18482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7EEB83DC">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vAlign w:val="center"/>
          </w:tcPr>
          <w:p w14:paraId="2C2E8A08">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4.受理校园内各类报警、求助，并认真做好当班记录。</w:t>
            </w:r>
          </w:p>
        </w:tc>
        <w:tc>
          <w:tcPr>
            <w:tcW w:w="1065" w:type="dxa"/>
            <w:tcBorders>
              <w:top w:val="single" w:color="auto" w:sz="4" w:space="0"/>
              <w:left w:val="single" w:color="auto" w:sz="4" w:space="0"/>
              <w:bottom w:val="single" w:color="auto" w:sz="4" w:space="0"/>
              <w:right w:val="single" w:color="auto" w:sz="4" w:space="0"/>
            </w:tcBorders>
            <w:vAlign w:val="center"/>
          </w:tcPr>
          <w:p w14:paraId="1072192B">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w:t>
            </w:r>
          </w:p>
        </w:tc>
        <w:tc>
          <w:tcPr>
            <w:tcW w:w="709" w:type="dxa"/>
            <w:tcBorders>
              <w:top w:val="single" w:color="auto" w:sz="4" w:space="0"/>
              <w:left w:val="single" w:color="auto" w:sz="4" w:space="0"/>
              <w:bottom w:val="single" w:color="auto" w:sz="4" w:space="0"/>
              <w:right w:val="single" w:color="auto" w:sz="4" w:space="0"/>
            </w:tcBorders>
          </w:tcPr>
          <w:p w14:paraId="043C4C4F">
            <w:pPr>
              <w:rPr>
                <w:rFonts w:ascii="宋体" w:hAnsi="宋体" w:cs="仿宋_GB2312"/>
                <w:b/>
                <w:i w:val="0"/>
                <w:iCs w:val="0"/>
                <w:color w:val="auto"/>
                <w:kern w:val="2"/>
                <w:sz w:val="24"/>
                <w:szCs w:val="24"/>
                <w:highlight w:val="none"/>
                <w:u w:val="none"/>
              </w:rPr>
            </w:pPr>
          </w:p>
        </w:tc>
      </w:tr>
      <w:tr w14:paraId="74986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228022F0">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tcPr>
          <w:p w14:paraId="28C9075D">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5.协调处理当班的一般警情，并及时报告值班干部，重大事件立即上报学校110或市110指挥中心。</w:t>
            </w:r>
          </w:p>
        </w:tc>
        <w:tc>
          <w:tcPr>
            <w:tcW w:w="1065" w:type="dxa"/>
            <w:tcBorders>
              <w:top w:val="single" w:color="auto" w:sz="4" w:space="0"/>
              <w:left w:val="single" w:color="auto" w:sz="4" w:space="0"/>
              <w:bottom w:val="single" w:color="auto" w:sz="4" w:space="0"/>
              <w:right w:val="single" w:color="auto" w:sz="4" w:space="0"/>
            </w:tcBorders>
            <w:vAlign w:val="center"/>
          </w:tcPr>
          <w:p w14:paraId="432C3AC6">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1</w:t>
            </w:r>
          </w:p>
        </w:tc>
        <w:tc>
          <w:tcPr>
            <w:tcW w:w="709" w:type="dxa"/>
            <w:tcBorders>
              <w:top w:val="single" w:color="auto" w:sz="4" w:space="0"/>
              <w:left w:val="single" w:color="auto" w:sz="4" w:space="0"/>
              <w:bottom w:val="single" w:color="auto" w:sz="4" w:space="0"/>
              <w:right w:val="single" w:color="auto" w:sz="4" w:space="0"/>
            </w:tcBorders>
          </w:tcPr>
          <w:p w14:paraId="12D79C6B">
            <w:pPr>
              <w:rPr>
                <w:rFonts w:ascii="宋体" w:hAnsi="宋体" w:cs="仿宋_GB2312"/>
                <w:b/>
                <w:i w:val="0"/>
                <w:iCs w:val="0"/>
                <w:color w:val="auto"/>
                <w:kern w:val="2"/>
                <w:sz w:val="24"/>
                <w:szCs w:val="24"/>
                <w:highlight w:val="none"/>
                <w:u w:val="none"/>
              </w:rPr>
            </w:pPr>
          </w:p>
        </w:tc>
      </w:tr>
      <w:tr w14:paraId="55DCC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162FCCC6">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tcPr>
          <w:p w14:paraId="42CF8718">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6.爱护公共财物，甲方移交资产有专人负责管理，保持室内卫生，保持工作环境整洁。</w:t>
            </w:r>
          </w:p>
        </w:tc>
        <w:tc>
          <w:tcPr>
            <w:tcW w:w="1065" w:type="dxa"/>
            <w:tcBorders>
              <w:top w:val="single" w:color="auto" w:sz="4" w:space="0"/>
              <w:left w:val="single" w:color="auto" w:sz="4" w:space="0"/>
              <w:bottom w:val="single" w:color="auto" w:sz="4" w:space="0"/>
              <w:right w:val="single" w:color="auto" w:sz="4" w:space="0"/>
            </w:tcBorders>
            <w:vAlign w:val="center"/>
          </w:tcPr>
          <w:p w14:paraId="2E7E8248">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1</w:t>
            </w:r>
          </w:p>
        </w:tc>
        <w:tc>
          <w:tcPr>
            <w:tcW w:w="709" w:type="dxa"/>
            <w:tcBorders>
              <w:top w:val="single" w:color="auto" w:sz="4" w:space="0"/>
              <w:left w:val="single" w:color="auto" w:sz="4" w:space="0"/>
              <w:bottom w:val="single" w:color="auto" w:sz="4" w:space="0"/>
              <w:right w:val="single" w:color="auto" w:sz="4" w:space="0"/>
            </w:tcBorders>
          </w:tcPr>
          <w:p w14:paraId="4658C079">
            <w:pPr>
              <w:rPr>
                <w:rFonts w:ascii="宋体" w:hAnsi="宋体" w:cs="仿宋_GB2312"/>
                <w:b/>
                <w:i w:val="0"/>
                <w:iCs w:val="0"/>
                <w:color w:val="auto"/>
                <w:kern w:val="2"/>
                <w:sz w:val="24"/>
                <w:szCs w:val="24"/>
                <w:highlight w:val="none"/>
                <w:u w:val="none"/>
              </w:rPr>
            </w:pPr>
          </w:p>
        </w:tc>
      </w:tr>
      <w:tr w14:paraId="5A6E0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1162242C">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vAlign w:val="center"/>
          </w:tcPr>
          <w:p w14:paraId="7D1259B0">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7.认真填写交接班记录，按时交接班。</w:t>
            </w:r>
          </w:p>
        </w:tc>
        <w:tc>
          <w:tcPr>
            <w:tcW w:w="1065" w:type="dxa"/>
            <w:tcBorders>
              <w:top w:val="single" w:color="auto" w:sz="4" w:space="0"/>
              <w:left w:val="single" w:color="auto" w:sz="4" w:space="0"/>
              <w:bottom w:val="single" w:color="auto" w:sz="4" w:space="0"/>
              <w:right w:val="single" w:color="auto" w:sz="4" w:space="0"/>
            </w:tcBorders>
            <w:vAlign w:val="center"/>
          </w:tcPr>
          <w:p w14:paraId="4407AD7F">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1</w:t>
            </w:r>
          </w:p>
        </w:tc>
        <w:tc>
          <w:tcPr>
            <w:tcW w:w="709" w:type="dxa"/>
            <w:tcBorders>
              <w:top w:val="single" w:color="auto" w:sz="4" w:space="0"/>
              <w:left w:val="single" w:color="auto" w:sz="4" w:space="0"/>
              <w:bottom w:val="single" w:color="auto" w:sz="4" w:space="0"/>
              <w:right w:val="single" w:color="auto" w:sz="4" w:space="0"/>
            </w:tcBorders>
          </w:tcPr>
          <w:p w14:paraId="7597C503">
            <w:pPr>
              <w:rPr>
                <w:rFonts w:ascii="宋体" w:hAnsi="宋体" w:cs="仿宋_GB2312"/>
                <w:b/>
                <w:i w:val="0"/>
                <w:iCs w:val="0"/>
                <w:color w:val="auto"/>
                <w:kern w:val="2"/>
                <w:sz w:val="24"/>
                <w:szCs w:val="24"/>
                <w:highlight w:val="none"/>
                <w:u w:val="none"/>
              </w:rPr>
            </w:pPr>
          </w:p>
        </w:tc>
      </w:tr>
      <w:tr w14:paraId="4DD63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restart"/>
            <w:tcBorders>
              <w:top w:val="nil"/>
              <w:left w:val="single" w:color="auto" w:sz="4" w:space="0"/>
              <w:bottom w:val="single" w:color="auto" w:sz="4" w:space="0"/>
              <w:right w:val="single" w:color="auto" w:sz="4" w:space="0"/>
            </w:tcBorders>
            <w:vAlign w:val="center"/>
          </w:tcPr>
          <w:p w14:paraId="4A625A83">
            <w:pPr>
              <w:jc w:val="center"/>
              <w:rPr>
                <w:rFonts w:ascii="宋体" w:hAnsi="宋体" w:cs="仿宋_GB2312"/>
                <w:b/>
                <w:i w:val="0"/>
                <w:iCs w:val="0"/>
                <w:color w:val="auto"/>
                <w:kern w:val="2"/>
                <w:sz w:val="24"/>
                <w:szCs w:val="24"/>
                <w:highlight w:val="none"/>
                <w:u w:val="none"/>
              </w:rPr>
            </w:pPr>
          </w:p>
          <w:p w14:paraId="3A372DA8">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消</w:t>
            </w:r>
          </w:p>
          <w:p w14:paraId="71DF463E">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防</w:t>
            </w:r>
          </w:p>
          <w:p w14:paraId="1D96ABEA">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控</w:t>
            </w:r>
          </w:p>
          <w:p w14:paraId="384DFF5C">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制</w:t>
            </w:r>
          </w:p>
          <w:p w14:paraId="234A2D9D">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室</w:t>
            </w:r>
          </w:p>
          <w:p w14:paraId="6FC4948F">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（10分）</w:t>
            </w:r>
          </w:p>
        </w:tc>
        <w:tc>
          <w:tcPr>
            <w:tcW w:w="6388" w:type="dxa"/>
            <w:tcBorders>
              <w:top w:val="single" w:color="auto" w:sz="4" w:space="0"/>
              <w:left w:val="single" w:color="auto" w:sz="4" w:space="0"/>
              <w:bottom w:val="single" w:color="auto" w:sz="4" w:space="0"/>
              <w:right w:val="single" w:color="auto" w:sz="4" w:space="0"/>
            </w:tcBorders>
          </w:tcPr>
          <w:p w14:paraId="63841873">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1.值班时保持高度警惕，不擅离岗位，不看书报，不做私事，不与他人在岗位上和值班室闲谈嬉笑。</w:t>
            </w:r>
          </w:p>
        </w:tc>
        <w:tc>
          <w:tcPr>
            <w:tcW w:w="1065" w:type="dxa"/>
            <w:tcBorders>
              <w:top w:val="single" w:color="auto" w:sz="4" w:space="0"/>
              <w:left w:val="single" w:color="auto" w:sz="4" w:space="0"/>
              <w:bottom w:val="single" w:color="auto" w:sz="4" w:space="0"/>
              <w:right w:val="single" w:color="auto" w:sz="4" w:space="0"/>
            </w:tcBorders>
            <w:vAlign w:val="center"/>
          </w:tcPr>
          <w:p w14:paraId="5DAAE032">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w:t>
            </w:r>
          </w:p>
        </w:tc>
        <w:tc>
          <w:tcPr>
            <w:tcW w:w="709" w:type="dxa"/>
            <w:tcBorders>
              <w:top w:val="single" w:color="auto" w:sz="4" w:space="0"/>
              <w:left w:val="single" w:color="auto" w:sz="4" w:space="0"/>
              <w:bottom w:val="single" w:color="auto" w:sz="4" w:space="0"/>
              <w:right w:val="single" w:color="auto" w:sz="4" w:space="0"/>
            </w:tcBorders>
          </w:tcPr>
          <w:p w14:paraId="7F67D7FE">
            <w:pPr>
              <w:rPr>
                <w:rFonts w:ascii="宋体" w:hAnsi="宋体" w:cs="仿宋_GB2312"/>
                <w:b/>
                <w:i w:val="0"/>
                <w:iCs w:val="0"/>
                <w:color w:val="auto"/>
                <w:kern w:val="2"/>
                <w:sz w:val="24"/>
                <w:szCs w:val="24"/>
                <w:highlight w:val="none"/>
                <w:u w:val="none"/>
              </w:rPr>
            </w:pPr>
          </w:p>
        </w:tc>
      </w:tr>
      <w:tr w14:paraId="19372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2E4E620C">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vAlign w:val="center"/>
          </w:tcPr>
          <w:p w14:paraId="10144213">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2.发生火警报告及时，处置得当。</w:t>
            </w:r>
          </w:p>
        </w:tc>
        <w:tc>
          <w:tcPr>
            <w:tcW w:w="1065" w:type="dxa"/>
            <w:tcBorders>
              <w:top w:val="single" w:color="auto" w:sz="4" w:space="0"/>
              <w:left w:val="single" w:color="auto" w:sz="4" w:space="0"/>
              <w:bottom w:val="single" w:color="auto" w:sz="4" w:space="0"/>
              <w:right w:val="single" w:color="auto" w:sz="4" w:space="0"/>
            </w:tcBorders>
            <w:vAlign w:val="center"/>
          </w:tcPr>
          <w:p w14:paraId="743792F7">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w:t>
            </w:r>
          </w:p>
        </w:tc>
        <w:tc>
          <w:tcPr>
            <w:tcW w:w="709" w:type="dxa"/>
            <w:tcBorders>
              <w:top w:val="single" w:color="auto" w:sz="4" w:space="0"/>
              <w:left w:val="single" w:color="auto" w:sz="4" w:space="0"/>
              <w:bottom w:val="single" w:color="auto" w:sz="4" w:space="0"/>
              <w:right w:val="single" w:color="auto" w:sz="4" w:space="0"/>
            </w:tcBorders>
          </w:tcPr>
          <w:p w14:paraId="130DF330">
            <w:pPr>
              <w:rPr>
                <w:rFonts w:ascii="宋体" w:hAnsi="宋体" w:cs="仿宋_GB2312"/>
                <w:b/>
                <w:i w:val="0"/>
                <w:iCs w:val="0"/>
                <w:color w:val="auto"/>
                <w:kern w:val="2"/>
                <w:sz w:val="24"/>
                <w:szCs w:val="24"/>
                <w:highlight w:val="none"/>
                <w:u w:val="none"/>
              </w:rPr>
            </w:pPr>
          </w:p>
        </w:tc>
      </w:tr>
      <w:tr w14:paraId="7FD28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744C054C">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tcPr>
          <w:p w14:paraId="237434AA">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3.爱护公共财物，甲方移交资产有专人负责管理，保持室内卫生，保持工作环境整洁。</w:t>
            </w:r>
          </w:p>
        </w:tc>
        <w:tc>
          <w:tcPr>
            <w:tcW w:w="1065" w:type="dxa"/>
            <w:tcBorders>
              <w:top w:val="single" w:color="auto" w:sz="4" w:space="0"/>
              <w:left w:val="single" w:color="auto" w:sz="4" w:space="0"/>
              <w:bottom w:val="single" w:color="auto" w:sz="4" w:space="0"/>
              <w:right w:val="single" w:color="auto" w:sz="4" w:space="0"/>
            </w:tcBorders>
            <w:vAlign w:val="center"/>
          </w:tcPr>
          <w:p w14:paraId="3C152192">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w:t>
            </w:r>
          </w:p>
        </w:tc>
        <w:tc>
          <w:tcPr>
            <w:tcW w:w="709" w:type="dxa"/>
            <w:tcBorders>
              <w:top w:val="single" w:color="auto" w:sz="4" w:space="0"/>
              <w:left w:val="single" w:color="auto" w:sz="4" w:space="0"/>
              <w:bottom w:val="single" w:color="auto" w:sz="4" w:space="0"/>
              <w:right w:val="single" w:color="auto" w:sz="4" w:space="0"/>
            </w:tcBorders>
          </w:tcPr>
          <w:p w14:paraId="11B5A047">
            <w:pPr>
              <w:rPr>
                <w:rFonts w:ascii="宋体" w:hAnsi="宋体" w:cs="仿宋_GB2312"/>
                <w:b/>
                <w:i w:val="0"/>
                <w:iCs w:val="0"/>
                <w:color w:val="auto"/>
                <w:kern w:val="2"/>
                <w:sz w:val="24"/>
                <w:szCs w:val="24"/>
                <w:highlight w:val="none"/>
                <w:u w:val="none"/>
              </w:rPr>
            </w:pPr>
          </w:p>
        </w:tc>
      </w:tr>
      <w:tr w14:paraId="73EDF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4B7DBDFA">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vAlign w:val="center"/>
          </w:tcPr>
          <w:p w14:paraId="31EDEB46">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4.值班时间不接待外来人员，不做与工作无关的事情。禁止无关人员进入监控室。严格注视监控录像，发现可疑情况及时上报。</w:t>
            </w:r>
          </w:p>
        </w:tc>
        <w:tc>
          <w:tcPr>
            <w:tcW w:w="1065" w:type="dxa"/>
            <w:tcBorders>
              <w:top w:val="single" w:color="auto" w:sz="4" w:space="0"/>
              <w:left w:val="single" w:color="auto" w:sz="4" w:space="0"/>
              <w:bottom w:val="single" w:color="auto" w:sz="4" w:space="0"/>
              <w:right w:val="single" w:color="auto" w:sz="4" w:space="0"/>
            </w:tcBorders>
            <w:vAlign w:val="center"/>
          </w:tcPr>
          <w:p w14:paraId="0F67B2E6">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w:t>
            </w:r>
          </w:p>
        </w:tc>
        <w:tc>
          <w:tcPr>
            <w:tcW w:w="709" w:type="dxa"/>
            <w:tcBorders>
              <w:top w:val="single" w:color="auto" w:sz="4" w:space="0"/>
              <w:left w:val="single" w:color="auto" w:sz="4" w:space="0"/>
              <w:bottom w:val="single" w:color="auto" w:sz="4" w:space="0"/>
              <w:right w:val="single" w:color="auto" w:sz="4" w:space="0"/>
            </w:tcBorders>
          </w:tcPr>
          <w:p w14:paraId="1846EC90">
            <w:pPr>
              <w:rPr>
                <w:rFonts w:ascii="宋体" w:hAnsi="宋体" w:cs="仿宋_GB2312"/>
                <w:b/>
                <w:i w:val="0"/>
                <w:iCs w:val="0"/>
                <w:color w:val="auto"/>
                <w:kern w:val="2"/>
                <w:sz w:val="24"/>
                <w:szCs w:val="24"/>
                <w:highlight w:val="none"/>
                <w:u w:val="none"/>
              </w:rPr>
            </w:pPr>
          </w:p>
        </w:tc>
      </w:tr>
      <w:tr w14:paraId="1FBC5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0C0E99D4">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vAlign w:val="center"/>
          </w:tcPr>
          <w:p w14:paraId="27300480">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5.认真填写交接班记录，按时交接班。</w:t>
            </w:r>
          </w:p>
        </w:tc>
        <w:tc>
          <w:tcPr>
            <w:tcW w:w="1065" w:type="dxa"/>
            <w:tcBorders>
              <w:top w:val="single" w:color="auto" w:sz="4" w:space="0"/>
              <w:left w:val="single" w:color="auto" w:sz="4" w:space="0"/>
              <w:bottom w:val="single" w:color="auto" w:sz="4" w:space="0"/>
              <w:right w:val="single" w:color="auto" w:sz="4" w:space="0"/>
            </w:tcBorders>
            <w:vAlign w:val="center"/>
          </w:tcPr>
          <w:p w14:paraId="78297BF6">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w:t>
            </w:r>
          </w:p>
        </w:tc>
        <w:tc>
          <w:tcPr>
            <w:tcW w:w="709" w:type="dxa"/>
            <w:tcBorders>
              <w:top w:val="single" w:color="auto" w:sz="4" w:space="0"/>
              <w:left w:val="single" w:color="auto" w:sz="4" w:space="0"/>
              <w:bottom w:val="single" w:color="auto" w:sz="4" w:space="0"/>
              <w:right w:val="single" w:color="auto" w:sz="4" w:space="0"/>
            </w:tcBorders>
          </w:tcPr>
          <w:p w14:paraId="6A8587EC">
            <w:pPr>
              <w:rPr>
                <w:rFonts w:ascii="宋体" w:hAnsi="宋体" w:cs="仿宋_GB2312"/>
                <w:b/>
                <w:i w:val="0"/>
                <w:iCs w:val="0"/>
                <w:color w:val="auto"/>
                <w:kern w:val="2"/>
                <w:sz w:val="24"/>
                <w:szCs w:val="24"/>
                <w:highlight w:val="none"/>
                <w:u w:val="none"/>
              </w:rPr>
            </w:pPr>
          </w:p>
        </w:tc>
      </w:tr>
      <w:tr w14:paraId="3A3B3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restart"/>
            <w:tcBorders>
              <w:top w:val="nil"/>
              <w:left w:val="single" w:color="auto" w:sz="4" w:space="0"/>
              <w:bottom w:val="single" w:color="auto" w:sz="4" w:space="0"/>
              <w:right w:val="single" w:color="auto" w:sz="4" w:space="0"/>
            </w:tcBorders>
            <w:vAlign w:val="center"/>
          </w:tcPr>
          <w:p w14:paraId="175AF029">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内</w:t>
            </w:r>
          </w:p>
          <w:p w14:paraId="16BC07C6">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部</w:t>
            </w:r>
          </w:p>
          <w:p w14:paraId="4682F738">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管</w:t>
            </w:r>
          </w:p>
          <w:p w14:paraId="2952F357">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理</w:t>
            </w:r>
          </w:p>
          <w:p w14:paraId="6E4E1BD5">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（10分）</w:t>
            </w:r>
          </w:p>
        </w:tc>
        <w:tc>
          <w:tcPr>
            <w:tcW w:w="6388" w:type="dxa"/>
            <w:tcBorders>
              <w:top w:val="single" w:color="auto" w:sz="4" w:space="0"/>
              <w:left w:val="single" w:color="auto" w:sz="4" w:space="0"/>
              <w:bottom w:val="single" w:color="auto" w:sz="4" w:space="0"/>
              <w:right w:val="single" w:color="auto" w:sz="4" w:space="0"/>
            </w:tcBorders>
          </w:tcPr>
          <w:p w14:paraId="458EA24E">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1.管理人员配备齐全、不缺勤、不脱岗、挂牌上岗，持证上岗，态度谦和、主动热情，杜绝争吵现象。</w:t>
            </w:r>
          </w:p>
        </w:tc>
        <w:tc>
          <w:tcPr>
            <w:tcW w:w="1065" w:type="dxa"/>
            <w:tcBorders>
              <w:top w:val="single" w:color="auto" w:sz="4" w:space="0"/>
              <w:left w:val="single" w:color="auto" w:sz="4" w:space="0"/>
              <w:bottom w:val="single" w:color="auto" w:sz="4" w:space="0"/>
              <w:right w:val="single" w:color="auto" w:sz="4" w:space="0"/>
            </w:tcBorders>
            <w:vAlign w:val="center"/>
          </w:tcPr>
          <w:p w14:paraId="0BF561C8">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6</w:t>
            </w:r>
          </w:p>
        </w:tc>
        <w:tc>
          <w:tcPr>
            <w:tcW w:w="709" w:type="dxa"/>
            <w:tcBorders>
              <w:top w:val="single" w:color="auto" w:sz="4" w:space="0"/>
              <w:left w:val="single" w:color="auto" w:sz="4" w:space="0"/>
              <w:bottom w:val="single" w:color="auto" w:sz="4" w:space="0"/>
              <w:right w:val="single" w:color="auto" w:sz="4" w:space="0"/>
            </w:tcBorders>
          </w:tcPr>
          <w:p w14:paraId="5FB4E828">
            <w:pPr>
              <w:rPr>
                <w:rFonts w:ascii="宋体" w:hAnsi="宋体" w:cs="仿宋_GB2312"/>
                <w:b/>
                <w:i w:val="0"/>
                <w:iCs w:val="0"/>
                <w:color w:val="auto"/>
                <w:kern w:val="2"/>
                <w:sz w:val="24"/>
                <w:szCs w:val="24"/>
                <w:highlight w:val="none"/>
                <w:u w:val="none"/>
              </w:rPr>
            </w:pPr>
          </w:p>
        </w:tc>
      </w:tr>
      <w:tr w14:paraId="7885A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vMerge w:val="continue"/>
            <w:tcBorders>
              <w:top w:val="nil"/>
              <w:left w:val="single" w:color="auto" w:sz="4" w:space="0"/>
              <w:bottom w:val="single" w:color="auto" w:sz="4" w:space="0"/>
              <w:right w:val="single" w:color="auto" w:sz="4" w:space="0"/>
            </w:tcBorders>
            <w:vAlign w:val="center"/>
          </w:tcPr>
          <w:p w14:paraId="0BC851FE">
            <w:pPr>
              <w:widowControl/>
              <w:jc w:val="left"/>
              <w:rPr>
                <w:rFonts w:ascii="宋体" w:hAnsi="宋体" w:cs="仿宋_GB2312"/>
                <w:b/>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vAlign w:val="center"/>
          </w:tcPr>
          <w:p w14:paraId="1EFE46A1">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2.办公室整洁，各项规章制度齐全，岗位责任制度挂在醒目位置，健全各种管理档案，随时供校区相关管理部门调阅。</w:t>
            </w:r>
          </w:p>
        </w:tc>
        <w:tc>
          <w:tcPr>
            <w:tcW w:w="1065" w:type="dxa"/>
            <w:tcBorders>
              <w:top w:val="single" w:color="auto" w:sz="4" w:space="0"/>
              <w:left w:val="single" w:color="auto" w:sz="4" w:space="0"/>
              <w:bottom w:val="single" w:color="auto" w:sz="4" w:space="0"/>
              <w:right w:val="single" w:color="auto" w:sz="4" w:space="0"/>
            </w:tcBorders>
            <w:vAlign w:val="center"/>
          </w:tcPr>
          <w:p w14:paraId="1BE861A9">
            <w:pPr>
              <w:jc w:val="center"/>
              <w:rPr>
                <w:rFonts w:ascii="宋体" w:hAnsi="宋体" w:cs="仿宋_GB2312"/>
                <w:b/>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4</w:t>
            </w:r>
          </w:p>
        </w:tc>
        <w:tc>
          <w:tcPr>
            <w:tcW w:w="709" w:type="dxa"/>
            <w:tcBorders>
              <w:top w:val="single" w:color="auto" w:sz="4" w:space="0"/>
              <w:left w:val="single" w:color="auto" w:sz="4" w:space="0"/>
              <w:bottom w:val="single" w:color="auto" w:sz="4" w:space="0"/>
              <w:right w:val="single" w:color="auto" w:sz="4" w:space="0"/>
            </w:tcBorders>
          </w:tcPr>
          <w:p w14:paraId="3CF75BB3">
            <w:pPr>
              <w:rPr>
                <w:rFonts w:ascii="宋体" w:hAnsi="宋体" w:cs="仿宋_GB2312"/>
                <w:b/>
                <w:i w:val="0"/>
                <w:iCs w:val="0"/>
                <w:color w:val="auto"/>
                <w:kern w:val="2"/>
                <w:sz w:val="24"/>
                <w:szCs w:val="24"/>
                <w:highlight w:val="none"/>
                <w:u w:val="none"/>
              </w:rPr>
            </w:pPr>
          </w:p>
        </w:tc>
      </w:tr>
      <w:tr w14:paraId="6560B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tcBorders>
              <w:top w:val="single" w:color="auto" w:sz="4" w:space="0"/>
              <w:left w:val="single" w:color="auto" w:sz="4" w:space="0"/>
              <w:bottom w:val="single" w:color="auto" w:sz="4" w:space="0"/>
              <w:right w:val="single" w:color="auto" w:sz="4" w:space="0"/>
            </w:tcBorders>
            <w:vAlign w:val="center"/>
          </w:tcPr>
          <w:p w14:paraId="3AED0332">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附</w:t>
            </w:r>
          </w:p>
          <w:p w14:paraId="31A06783">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加</w:t>
            </w:r>
          </w:p>
          <w:p w14:paraId="71AFD7F7">
            <w:pPr>
              <w:jc w:val="center"/>
              <w:rPr>
                <w:rFonts w:ascii="宋体" w:hAnsi="宋体" w:cs="仿宋_GB2312"/>
                <w:b/>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分</w:t>
            </w:r>
          </w:p>
          <w:p w14:paraId="650BDA6B">
            <w:pPr>
              <w:jc w:val="center"/>
              <w:rPr>
                <w:rFonts w:ascii="宋体" w:hAnsi="宋体" w:cs="仿宋_GB2312"/>
                <w:i w:val="0"/>
                <w:iCs w:val="0"/>
                <w:color w:val="auto"/>
                <w:kern w:val="2"/>
                <w:sz w:val="24"/>
                <w:szCs w:val="24"/>
                <w:highlight w:val="none"/>
                <w:u w:val="none"/>
              </w:rPr>
            </w:pPr>
            <w:r>
              <w:rPr>
                <w:rFonts w:hint="eastAsia" w:ascii="宋体" w:hAnsi="宋体" w:cs="仿宋_GB2312"/>
                <w:b/>
                <w:i w:val="0"/>
                <w:iCs w:val="0"/>
                <w:color w:val="auto"/>
                <w:kern w:val="2"/>
                <w:sz w:val="24"/>
                <w:szCs w:val="24"/>
                <w:highlight w:val="none"/>
                <w:u w:val="none"/>
              </w:rPr>
              <w:t>（-10～10分）</w:t>
            </w:r>
          </w:p>
        </w:tc>
        <w:tc>
          <w:tcPr>
            <w:tcW w:w="6388" w:type="dxa"/>
            <w:tcBorders>
              <w:top w:val="single" w:color="auto" w:sz="4" w:space="0"/>
              <w:left w:val="single" w:color="auto" w:sz="4" w:space="0"/>
              <w:bottom w:val="single" w:color="auto" w:sz="4" w:space="0"/>
              <w:right w:val="single" w:color="auto" w:sz="4" w:space="0"/>
            </w:tcBorders>
          </w:tcPr>
          <w:p w14:paraId="12C7147E">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1.参与学校重大活动，受到学校好评的加1-5分。</w:t>
            </w:r>
          </w:p>
          <w:p w14:paraId="7A69D32D">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2.遇到重大突发事件反应迅速，处置得当的，加1-5分。</w:t>
            </w:r>
          </w:p>
          <w:p w14:paraId="48D76866">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3.有违纪违法行为的每人次扣10分。</w:t>
            </w:r>
          </w:p>
          <w:p w14:paraId="0ACCDF0F">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4.脱岗每人次扣5分。</w:t>
            </w:r>
          </w:p>
          <w:p w14:paraId="7095F94B">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5.工作期间饮酒每人次扣5分。</w:t>
            </w:r>
          </w:p>
          <w:p w14:paraId="4489B0F3">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6.公共场合抽烟每人次扣2分。</w:t>
            </w:r>
          </w:p>
        </w:tc>
        <w:tc>
          <w:tcPr>
            <w:tcW w:w="1065" w:type="dxa"/>
            <w:tcBorders>
              <w:top w:val="single" w:color="auto" w:sz="4" w:space="0"/>
              <w:left w:val="single" w:color="auto" w:sz="4" w:space="0"/>
              <w:bottom w:val="single" w:color="auto" w:sz="4" w:space="0"/>
              <w:right w:val="single" w:color="auto" w:sz="4" w:space="0"/>
            </w:tcBorders>
            <w:vAlign w:val="center"/>
          </w:tcPr>
          <w:p w14:paraId="71563A1C">
            <w:pPr>
              <w:jc w:val="center"/>
              <w:rPr>
                <w:rFonts w:ascii="宋体" w:hAnsi="宋体" w:cs="仿宋_GB2312"/>
                <w:b/>
                <w:i w:val="0"/>
                <w:iCs w:val="0"/>
                <w:color w:val="auto"/>
                <w:kern w:val="2"/>
                <w:sz w:val="24"/>
                <w:szCs w:val="24"/>
                <w:highlight w:val="none"/>
                <w:u w:val="none"/>
              </w:rPr>
            </w:pPr>
          </w:p>
        </w:tc>
        <w:tc>
          <w:tcPr>
            <w:tcW w:w="709" w:type="dxa"/>
            <w:tcBorders>
              <w:top w:val="single" w:color="auto" w:sz="4" w:space="0"/>
              <w:left w:val="single" w:color="auto" w:sz="4" w:space="0"/>
              <w:bottom w:val="single" w:color="auto" w:sz="4" w:space="0"/>
              <w:right w:val="single" w:color="auto" w:sz="4" w:space="0"/>
            </w:tcBorders>
          </w:tcPr>
          <w:p w14:paraId="14002A3A">
            <w:pPr>
              <w:rPr>
                <w:rFonts w:ascii="宋体" w:hAnsi="宋体" w:cs="仿宋_GB2312"/>
                <w:b/>
                <w:i w:val="0"/>
                <w:iCs w:val="0"/>
                <w:color w:val="auto"/>
                <w:kern w:val="2"/>
                <w:sz w:val="24"/>
                <w:szCs w:val="24"/>
                <w:highlight w:val="none"/>
                <w:u w:val="none"/>
              </w:rPr>
            </w:pPr>
          </w:p>
        </w:tc>
      </w:tr>
      <w:tr w14:paraId="22CA4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84" w:type="dxa"/>
            <w:tcBorders>
              <w:top w:val="single" w:color="auto" w:sz="4" w:space="0"/>
              <w:left w:val="single" w:color="auto" w:sz="4" w:space="0"/>
              <w:bottom w:val="single" w:color="auto" w:sz="4" w:space="0"/>
              <w:right w:val="single" w:color="auto" w:sz="4" w:space="0"/>
            </w:tcBorders>
            <w:vAlign w:val="center"/>
          </w:tcPr>
          <w:p w14:paraId="4A2C8026">
            <w:pPr>
              <w:jc w:val="center"/>
              <w:rPr>
                <w:rFonts w:ascii="宋体" w:hAnsi="宋体" w:cs="仿宋_GB2312"/>
                <w:i w:val="0"/>
                <w:iCs w:val="0"/>
                <w:color w:val="auto"/>
                <w:kern w:val="2"/>
                <w:sz w:val="24"/>
                <w:szCs w:val="24"/>
                <w:highlight w:val="none"/>
                <w:u w:val="none"/>
              </w:rPr>
            </w:pPr>
          </w:p>
        </w:tc>
        <w:tc>
          <w:tcPr>
            <w:tcW w:w="6388" w:type="dxa"/>
            <w:tcBorders>
              <w:top w:val="single" w:color="auto" w:sz="4" w:space="0"/>
              <w:left w:val="single" w:color="auto" w:sz="4" w:space="0"/>
              <w:bottom w:val="single" w:color="auto" w:sz="4" w:space="0"/>
              <w:right w:val="single" w:color="auto" w:sz="4" w:space="0"/>
            </w:tcBorders>
          </w:tcPr>
          <w:p w14:paraId="283D0E7E">
            <w:pPr>
              <w:rPr>
                <w:rFonts w:ascii="宋体" w:hAnsi="宋体" w:cs="仿宋_GB2312"/>
                <w:i w:val="0"/>
                <w:iCs w:val="0"/>
                <w:color w:val="auto"/>
                <w:sz w:val="24"/>
                <w:szCs w:val="24"/>
                <w:highlight w:val="none"/>
                <w:u w:val="none"/>
              </w:rPr>
            </w:pPr>
            <w:r>
              <w:rPr>
                <w:rFonts w:hint="eastAsia" w:ascii="宋体" w:hAnsi="宋体" w:cs="仿宋_GB2312"/>
                <w:i w:val="0"/>
                <w:iCs w:val="0"/>
                <w:color w:val="auto"/>
                <w:sz w:val="24"/>
                <w:szCs w:val="24"/>
                <w:highlight w:val="none"/>
                <w:u w:val="none"/>
              </w:rPr>
              <w:t>合计</w:t>
            </w:r>
          </w:p>
        </w:tc>
        <w:tc>
          <w:tcPr>
            <w:tcW w:w="1065" w:type="dxa"/>
            <w:tcBorders>
              <w:top w:val="single" w:color="auto" w:sz="4" w:space="0"/>
              <w:left w:val="single" w:color="auto" w:sz="4" w:space="0"/>
              <w:bottom w:val="single" w:color="auto" w:sz="4" w:space="0"/>
              <w:right w:val="single" w:color="auto" w:sz="4" w:space="0"/>
            </w:tcBorders>
            <w:vAlign w:val="center"/>
          </w:tcPr>
          <w:p w14:paraId="4961C5B3">
            <w:pPr>
              <w:jc w:val="center"/>
              <w:rPr>
                <w:rFonts w:ascii="宋体" w:hAnsi="宋体" w:cs="仿宋_GB2312"/>
                <w:b/>
                <w:i w:val="0"/>
                <w:iCs w:val="0"/>
                <w:color w:val="auto"/>
                <w:kern w:val="2"/>
                <w:sz w:val="24"/>
                <w:szCs w:val="24"/>
                <w:highlight w:val="none"/>
                <w:u w:val="none"/>
              </w:rPr>
            </w:pPr>
          </w:p>
        </w:tc>
        <w:tc>
          <w:tcPr>
            <w:tcW w:w="709" w:type="dxa"/>
            <w:tcBorders>
              <w:top w:val="single" w:color="auto" w:sz="4" w:space="0"/>
              <w:left w:val="single" w:color="auto" w:sz="4" w:space="0"/>
              <w:bottom w:val="single" w:color="auto" w:sz="4" w:space="0"/>
              <w:right w:val="single" w:color="auto" w:sz="4" w:space="0"/>
            </w:tcBorders>
          </w:tcPr>
          <w:p w14:paraId="46EA3A45">
            <w:pPr>
              <w:rPr>
                <w:rFonts w:ascii="宋体" w:hAnsi="宋体" w:cs="仿宋_GB2312"/>
                <w:b/>
                <w:i w:val="0"/>
                <w:iCs w:val="0"/>
                <w:color w:val="auto"/>
                <w:kern w:val="2"/>
                <w:sz w:val="24"/>
                <w:szCs w:val="24"/>
                <w:highlight w:val="none"/>
                <w:u w:val="none"/>
              </w:rPr>
            </w:pPr>
          </w:p>
        </w:tc>
      </w:tr>
    </w:tbl>
    <w:p w14:paraId="44DA2B6D">
      <w:pPr>
        <w:spacing w:line="360" w:lineRule="auto"/>
        <w:ind w:firstLine="420"/>
        <w:rPr>
          <w:rFonts w:ascii="宋体" w:hAnsi="宋体"/>
          <w:i w:val="0"/>
          <w:iCs w:val="0"/>
          <w:color w:val="auto"/>
          <w:kern w:val="2"/>
          <w:sz w:val="24"/>
          <w:szCs w:val="24"/>
          <w:highlight w:val="none"/>
          <w:u w:val="none"/>
        </w:rPr>
      </w:pPr>
      <w:r>
        <w:rPr>
          <w:rFonts w:hint="eastAsia" w:ascii="宋体" w:hAnsi="宋体"/>
          <w:i w:val="0"/>
          <w:iCs w:val="0"/>
          <w:color w:val="auto"/>
          <w:kern w:val="2"/>
          <w:sz w:val="24"/>
          <w:szCs w:val="24"/>
          <w:highlight w:val="none"/>
          <w:u w:val="none"/>
        </w:rPr>
        <w:t>6.2考核办法：</w:t>
      </w:r>
    </w:p>
    <w:p w14:paraId="00C0D735">
      <w:pPr>
        <w:spacing w:line="360" w:lineRule="auto"/>
        <w:ind w:firstLine="528" w:firstLineChars="220"/>
        <w:rPr>
          <w:rFonts w:ascii="宋体" w:hAnsi="宋体"/>
          <w:bCs/>
          <w:i w:val="0"/>
          <w:iCs w:val="0"/>
          <w:color w:val="auto"/>
          <w:kern w:val="2"/>
          <w:sz w:val="24"/>
          <w:szCs w:val="24"/>
          <w:highlight w:val="none"/>
          <w:u w:val="none"/>
        </w:rPr>
      </w:pPr>
      <w:r>
        <w:rPr>
          <w:rFonts w:hint="eastAsia" w:ascii="宋体" w:hAnsi="宋体"/>
          <w:bCs/>
          <w:i w:val="0"/>
          <w:iCs w:val="0"/>
          <w:color w:val="auto"/>
          <w:kern w:val="2"/>
          <w:sz w:val="24"/>
          <w:szCs w:val="24"/>
          <w:highlight w:val="none"/>
          <w:u w:val="none"/>
        </w:rPr>
        <w:t>考核周期为每月一次，季度考核分数取季度内三个月考核平均分数。季度考核分低于70分，采购人有权扣除该季度服务费用的1%；季度考核分低于65分，采购人有权扣除该季度服务费用的3%；季度考核分低于60分，采购人有权扣除该季度服务费用的5%；季度考核分低于50分，采购人有权终止合同，由中标人承担采购人的损失，同时扣除所有履约保证金。</w:t>
      </w:r>
    </w:p>
    <w:p w14:paraId="42227289">
      <w:pPr>
        <w:spacing w:line="360" w:lineRule="auto"/>
        <w:ind w:firstLine="482"/>
        <w:rPr>
          <w:rFonts w:ascii="Times New Roman" w:hAnsi="Times New Roman"/>
          <w:b/>
          <w:i w:val="0"/>
          <w:iCs w:val="0"/>
          <w:color w:val="auto"/>
          <w:sz w:val="24"/>
          <w:szCs w:val="24"/>
          <w:highlight w:val="none"/>
          <w:u w:val="none"/>
        </w:rPr>
      </w:pPr>
      <w:r>
        <w:rPr>
          <w:rFonts w:hint="eastAsia" w:ascii="Times New Roman" w:hAnsi="Times New Roman"/>
          <w:b/>
          <w:i w:val="0"/>
          <w:iCs w:val="0"/>
          <w:color w:val="auto"/>
          <w:sz w:val="24"/>
          <w:szCs w:val="24"/>
          <w:highlight w:val="none"/>
          <w:u w:val="none"/>
        </w:rPr>
        <w:t>十一、</w:t>
      </w:r>
      <w:r>
        <w:rPr>
          <w:rFonts w:ascii="Times New Roman" w:hAnsi="Times New Roman"/>
          <w:b/>
          <w:i w:val="0"/>
          <w:iCs w:val="0"/>
          <w:color w:val="auto"/>
          <w:sz w:val="24"/>
          <w:szCs w:val="24"/>
          <w:highlight w:val="none"/>
          <w:u w:val="none"/>
        </w:rPr>
        <w:t>其他</w:t>
      </w:r>
    </w:p>
    <w:p w14:paraId="3E90BF52">
      <w:pPr>
        <w:spacing w:line="360" w:lineRule="auto"/>
        <w:ind w:firstLine="480"/>
        <w:rPr>
          <w:rFonts w:ascii="Times New Roman" w:hAnsi="Times New Roman"/>
          <w:i w:val="0"/>
          <w:iCs w:val="0"/>
          <w:color w:val="auto"/>
          <w:sz w:val="24"/>
          <w:szCs w:val="24"/>
          <w:highlight w:val="none"/>
          <w:u w:val="none"/>
        </w:rPr>
      </w:pPr>
      <w:r>
        <w:rPr>
          <w:rFonts w:ascii="Times New Roman" w:hAnsi="Times New Roman"/>
          <w:i w:val="0"/>
          <w:iCs w:val="0"/>
          <w:color w:val="auto"/>
          <w:sz w:val="24"/>
          <w:szCs w:val="24"/>
          <w:highlight w:val="none"/>
          <w:u w:val="none"/>
        </w:rPr>
        <w:t>本项目报价不得超过预算价（最高限价）。</w:t>
      </w:r>
    </w:p>
    <w:p w14:paraId="5208868D">
      <w:pPr>
        <w:spacing w:line="360" w:lineRule="auto"/>
        <w:ind w:firstLine="480"/>
        <w:rPr>
          <w:rFonts w:ascii="Times New Roman" w:hAnsi="Times New Roman"/>
          <w:i w:val="0"/>
          <w:iCs w:val="0"/>
          <w:color w:val="auto"/>
          <w:sz w:val="24"/>
          <w:szCs w:val="24"/>
          <w:highlight w:val="none"/>
          <w:u w:val="none"/>
        </w:rPr>
      </w:pPr>
      <w:r>
        <w:rPr>
          <w:rFonts w:ascii="Times New Roman" w:hAnsi="Times New Roman"/>
          <w:i w:val="0"/>
          <w:iCs w:val="0"/>
          <w:color w:val="auto"/>
          <w:sz w:val="24"/>
          <w:szCs w:val="24"/>
          <w:highlight w:val="none"/>
          <w:u w:val="none"/>
        </w:rPr>
        <w:t>特别提醒投标人：应根据国家收费标准并结合市场实际进行报价，总价包干。</w:t>
      </w:r>
    </w:p>
    <w:p w14:paraId="2C1EC04A">
      <w:pPr>
        <w:spacing w:line="360" w:lineRule="auto"/>
        <w:ind w:firstLine="480"/>
        <w:rPr>
          <w:rFonts w:ascii="Times New Roman" w:hAnsi="Times New Roman"/>
          <w:i w:val="0"/>
          <w:iCs w:val="0"/>
          <w:color w:val="auto"/>
          <w:sz w:val="24"/>
          <w:szCs w:val="24"/>
          <w:highlight w:val="none"/>
          <w:u w:val="none"/>
        </w:rPr>
      </w:pPr>
      <w:r>
        <w:rPr>
          <w:rFonts w:ascii="Times New Roman" w:hAnsi="Times New Roman"/>
          <w:i w:val="0"/>
          <w:iCs w:val="0"/>
          <w:color w:val="auto"/>
          <w:sz w:val="24"/>
          <w:szCs w:val="24"/>
          <w:highlight w:val="none"/>
          <w:u w:val="none"/>
        </w:rPr>
        <w:t>工作中涉及的敏感资料、电子数据等相关信息，中标人应严格执行保密的相关规定，不得以任何方式向任何第三人披露、泄露或许可第三人使用，否则追究其相应法律责任。</w:t>
      </w:r>
    </w:p>
    <w:p w14:paraId="7792D478">
      <w:pPr>
        <w:spacing w:line="500" w:lineRule="exact"/>
        <w:ind w:firstLine="480"/>
        <w:jc w:val="left"/>
        <w:rPr>
          <w:rFonts w:hint="eastAsia" w:ascii="方正黑体_GBK" w:hAnsi="方正黑体_GBK" w:eastAsia="方正黑体_GBK" w:cs="方正黑体_GBK"/>
          <w:i w:val="0"/>
          <w:iCs w:val="0"/>
          <w:color w:val="auto"/>
          <w:sz w:val="24"/>
          <w:szCs w:val="24"/>
          <w:highlight w:val="none"/>
          <w:u w:val="none"/>
        </w:rPr>
      </w:pPr>
      <w:r>
        <w:rPr>
          <w:rFonts w:hint="eastAsia" w:ascii="方正黑体_GBK" w:hAnsi="方正黑体_GBK" w:eastAsia="方正黑体_GBK" w:cs="方正黑体_GBK"/>
          <w:i w:val="0"/>
          <w:iCs w:val="0"/>
          <w:color w:val="auto"/>
          <w:sz w:val="24"/>
          <w:szCs w:val="24"/>
          <w:highlight w:val="none"/>
          <w:u w:val="none"/>
        </w:rPr>
        <w:t>采购包2 江苏海洋大学2026-2029年度保安服务项目（通灌校区、宋跳校区）</w:t>
      </w:r>
    </w:p>
    <w:tbl>
      <w:tblPr>
        <w:tblStyle w:val="8"/>
        <w:tblW w:w="89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6"/>
        <w:gridCol w:w="8087"/>
      </w:tblGrid>
      <w:tr w14:paraId="00088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03" w:type="dxa"/>
            <w:gridSpan w:val="2"/>
            <w:tcBorders>
              <w:top w:val="nil"/>
              <w:left w:val="nil"/>
              <w:bottom w:val="single" w:color="000000" w:sz="4" w:space="0"/>
              <w:right w:val="nil"/>
            </w:tcBorders>
            <w:vAlign w:val="center"/>
          </w:tcPr>
          <w:p w14:paraId="56EDE8CB">
            <w:pPr>
              <w:spacing w:line="500" w:lineRule="exact"/>
              <w:jc w:val="center"/>
              <w:rPr>
                <w:rFonts w:asciiTheme="minorEastAsia" w:hAnsiTheme="minorEastAsia" w:eastAsiaTheme="minorEastAsia"/>
                <w:b/>
                <w:bCs/>
                <w:i w:val="0"/>
                <w:iCs w:val="0"/>
                <w:color w:val="auto"/>
                <w:sz w:val="24"/>
                <w:szCs w:val="24"/>
                <w:highlight w:val="none"/>
                <w:u w:val="none"/>
              </w:rPr>
            </w:pPr>
            <w:r>
              <w:rPr>
                <w:rFonts w:asciiTheme="minorEastAsia" w:hAnsiTheme="minorEastAsia" w:eastAsiaTheme="minorEastAsia"/>
                <w:b/>
                <w:bCs/>
                <w:i w:val="0"/>
                <w:iCs w:val="0"/>
                <w:color w:val="auto"/>
                <w:sz w:val="24"/>
                <w:szCs w:val="24"/>
                <w:highlight w:val="none"/>
                <w:u w:val="none"/>
              </w:rPr>
              <w:t>采购需求中须满足的实质性要求和条件</w:t>
            </w:r>
          </w:p>
        </w:tc>
      </w:tr>
      <w:tr w14:paraId="672AFF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tcBorders>
              <w:top w:val="single" w:color="000000" w:sz="4" w:space="0"/>
            </w:tcBorders>
          </w:tcPr>
          <w:p w14:paraId="634F039C">
            <w:pPr>
              <w:jc w:val="center"/>
              <w:rPr>
                <w:rFonts w:asciiTheme="minorEastAsia" w:hAnsiTheme="minorEastAsia" w:eastAsiaTheme="minorEastAsia"/>
                <w:b/>
                <w:i w:val="0"/>
                <w:iCs w:val="0"/>
                <w:color w:val="auto"/>
                <w:sz w:val="24"/>
                <w:szCs w:val="24"/>
                <w:highlight w:val="none"/>
                <w:u w:val="none"/>
              </w:rPr>
            </w:pPr>
            <w:r>
              <w:rPr>
                <w:rFonts w:asciiTheme="minorEastAsia" w:hAnsiTheme="minorEastAsia" w:eastAsiaTheme="minorEastAsia"/>
                <w:b/>
                <w:i w:val="0"/>
                <w:iCs w:val="0"/>
                <w:color w:val="auto"/>
                <w:sz w:val="24"/>
                <w:szCs w:val="24"/>
                <w:highlight w:val="none"/>
                <w:u w:val="none"/>
              </w:rPr>
              <w:t>序号</w:t>
            </w:r>
          </w:p>
        </w:tc>
        <w:tc>
          <w:tcPr>
            <w:tcW w:w="8087" w:type="dxa"/>
            <w:tcBorders>
              <w:top w:val="single" w:color="000000" w:sz="4" w:space="0"/>
            </w:tcBorders>
          </w:tcPr>
          <w:p w14:paraId="694A6C56">
            <w:pPr>
              <w:jc w:val="center"/>
              <w:rPr>
                <w:rFonts w:asciiTheme="minorEastAsia" w:hAnsiTheme="minorEastAsia" w:eastAsiaTheme="minorEastAsia"/>
                <w:b/>
                <w:i w:val="0"/>
                <w:iCs w:val="0"/>
                <w:color w:val="auto"/>
                <w:sz w:val="24"/>
                <w:szCs w:val="24"/>
                <w:highlight w:val="none"/>
                <w:u w:val="none"/>
              </w:rPr>
            </w:pPr>
            <w:r>
              <w:rPr>
                <w:rFonts w:asciiTheme="minorEastAsia" w:hAnsiTheme="minorEastAsia" w:eastAsiaTheme="minorEastAsia"/>
                <w:b/>
                <w:i w:val="0"/>
                <w:iCs w:val="0"/>
                <w:color w:val="auto"/>
                <w:sz w:val="24"/>
                <w:szCs w:val="24"/>
                <w:highlight w:val="none"/>
                <w:u w:val="none"/>
              </w:rPr>
              <w:t>实质性要求和条件</w:t>
            </w:r>
          </w:p>
        </w:tc>
      </w:tr>
      <w:tr w14:paraId="0A6A4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vAlign w:val="center"/>
          </w:tcPr>
          <w:p w14:paraId="779C810C">
            <w:pPr>
              <w:jc w:val="center"/>
              <w:rPr>
                <w:rFonts w:asciiTheme="minorEastAsia" w:hAnsiTheme="minorEastAsia" w:eastAsiaTheme="minorEastAsia"/>
                <w:i w:val="0"/>
                <w:iCs w:val="0"/>
                <w:color w:val="auto"/>
                <w:sz w:val="24"/>
                <w:szCs w:val="24"/>
                <w:highlight w:val="none"/>
                <w:u w:val="none"/>
              </w:rPr>
            </w:pPr>
            <w:r>
              <w:rPr>
                <w:rFonts w:asciiTheme="minorEastAsia" w:hAnsiTheme="minorEastAsia" w:eastAsiaTheme="minorEastAsia"/>
                <w:i w:val="0"/>
                <w:iCs w:val="0"/>
                <w:color w:val="auto"/>
                <w:sz w:val="24"/>
                <w:szCs w:val="24"/>
                <w:highlight w:val="none"/>
                <w:u w:val="none"/>
              </w:rPr>
              <w:t>1</w:t>
            </w:r>
          </w:p>
        </w:tc>
        <w:tc>
          <w:tcPr>
            <w:tcW w:w="8087" w:type="dxa"/>
          </w:tcPr>
          <w:p w14:paraId="4A0F9BD9">
            <w:pPr>
              <w:jc w:val="left"/>
              <w:rPr>
                <w:rFonts w:asciiTheme="minorEastAsia" w:hAnsiTheme="minorEastAsia" w:eastAsiaTheme="minorEastAsia"/>
                <w:b/>
                <w:i w:val="0"/>
                <w:iCs w:val="0"/>
                <w:color w:val="auto"/>
                <w:sz w:val="24"/>
                <w:szCs w:val="24"/>
                <w:highlight w:val="none"/>
                <w:u w:val="none"/>
              </w:rPr>
            </w:pPr>
            <w:r>
              <w:rPr>
                <w:rFonts w:asciiTheme="minorEastAsia" w:hAnsiTheme="minorEastAsia" w:eastAsiaTheme="minorEastAsia"/>
                <w:b/>
                <w:i w:val="0"/>
                <w:iCs w:val="0"/>
                <w:color w:val="auto"/>
                <w:sz w:val="24"/>
                <w:szCs w:val="24"/>
                <w:highlight w:val="none"/>
                <w:u w:val="none"/>
              </w:rPr>
              <w:t>三、人员配备要求</w:t>
            </w:r>
          </w:p>
          <w:p w14:paraId="53DAC2A6">
            <w:pPr>
              <w:ind w:firstLine="482" w:firstLineChars="200"/>
              <w:rPr>
                <w:rFonts w:asciiTheme="minorEastAsia" w:hAnsiTheme="minorEastAsia" w:eastAsiaTheme="minorEastAsia"/>
                <w:b/>
                <w:i w:val="0"/>
                <w:iCs w:val="0"/>
                <w:color w:val="auto"/>
                <w:sz w:val="24"/>
                <w:szCs w:val="24"/>
                <w:highlight w:val="none"/>
                <w:u w:val="none"/>
              </w:rPr>
            </w:pPr>
            <w:r>
              <w:rPr>
                <w:rFonts w:hint="eastAsia" w:cs="宋体" w:asciiTheme="minorEastAsia" w:hAnsiTheme="minorEastAsia" w:eastAsiaTheme="minorEastAsia"/>
                <w:b/>
                <w:i w:val="0"/>
                <w:iCs w:val="0"/>
                <w:color w:val="auto"/>
                <w:kern w:val="2"/>
                <w:sz w:val="24"/>
                <w:szCs w:val="24"/>
                <w:highlight w:val="none"/>
                <w:u w:val="none"/>
              </w:rPr>
              <w:t>1. 各岗位实际配置人数不得低于30人，其中项目经理1人，门卫日常管理20人，校园安全巡逻2人，巡检员(监控室值班员)3人，消防控制室值班4人。投标人必须书面承诺人员配置要求以及岗位要求，投标文件须提供加盖公章的承诺书(格式自拟)，否则投标无效。</w:t>
            </w:r>
          </w:p>
        </w:tc>
      </w:tr>
      <w:tr w14:paraId="7D1A3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tcPr>
          <w:p w14:paraId="2B16B64F">
            <w:pPr>
              <w:jc w:val="center"/>
              <w:rPr>
                <w:rFonts w:asciiTheme="minorEastAsia" w:hAnsiTheme="minorEastAsia" w:eastAsiaTheme="minorEastAsia"/>
                <w:i w:val="0"/>
                <w:iCs w:val="0"/>
                <w:color w:val="auto"/>
                <w:sz w:val="24"/>
                <w:szCs w:val="24"/>
                <w:highlight w:val="none"/>
                <w:u w:val="none"/>
              </w:rPr>
            </w:pPr>
            <w:r>
              <w:rPr>
                <w:rFonts w:asciiTheme="minorEastAsia" w:hAnsiTheme="minorEastAsia" w:eastAsiaTheme="minorEastAsia"/>
                <w:i w:val="0"/>
                <w:iCs w:val="0"/>
                <w:color w:val="auto"/>
                <w:sz w:val="24"/>
                <w:szCs w:val="24"/>
                <w:highlight w:val="none"/>
                <w:u w:val="none"/>
              </w:rPr>
              <w:t>2</w:t>
            </w:r>
          </w:p>
        </w:tc>
        <w:tc>
          <w:tcPr>
            <w:tcW w:w="8087" w:type="dxa"/>
          </w:tcPr>
          <w:p w14:paraId="215CB8BC">
            <w:pPr>
              <w:rPr>
                <w:rFonts w:asciiTheme="minorEastAsia" w:hAnsiTheme="minorEastAsia" w:eastAsiaTheme="minorEastAsia"/>
                <w:b/>
                <w:i w:val="0"/>
                <w:iCs w:val="0"/>
                <w:color w:val="auto"/>
                <w:sz w:val="24"/>
                <w:szCs w:val="24"/>
                <w:highlight w:val="none"/>
                <w:u w:val="none"/>
              </w:rPr>
            </w:pPr>
            <w:r>
              <w:rPr>
                <w:rFonts w:asciiTheme="minorEastAsia" w:hAnsiTheme="minorEastAsia" w:eastAsiaTheme="minorEastAsia"/>
                <w:b/>
                <w:i w:val="0"/>
                <w:iCs w:val="0"/>
                <w:color w:val="auto"/>
                <w:sz w:val="24"/>
                <w:szCs w:val="24"/>
                <w:highlight w:val="none"/>
                <w:u w:val="none"/>
              </w:rPr>
              <w:t>四、服务期限</w:t>
            </w:r>
          </w:p>
          <w:p w14:paraId="7D27DB6F">
            <w:pPr>
              <w:jc w:val="left"/>
              <w:rPr>
                <w:rFonts w:asciiTheme="minorEastAsia" w:hAnsiTheme="minorEastAsia" w:eastAsiaTheme="minorEastAsia"/>
                <w:i w:val="0"/>
                <w:iCs w:val="0"/>
                <w:color w:val="auto"/>
                <w:sz w:val="24"/>
                <w:szCs w:val="24"/>
                <w:highlight w:val="none"/>
                <w:u w:val="none"/>
              </w:rPr>
            </w:pPr>
            <w:r>
              <w:rPr>
                <w:rFonts w:hint="eastAsia" w:asciiTheme="minorEastAsia" w:hAnsiTheme="minorEastAsia" w:eastAsiaTheme="minorEastAsia"/>
                <w:i w:val="0"/>
                <w:iCs w:val="0"/>
                <w:color w:val="auto"/>
                <w:sz w:val="24"/>
                <w:szCs w:val="24"/>
                <w:highlight w:val="none"/>
                <w:u w:val="none"/>
              </w:rPr>
              <w:t>3年，自2026年8月1日起至2029年7月31日止。</w:t>
            </w:r>
          </w:p>
        </w:tc>
      </w:tr>
      <w:tr w14:paraId="27B0D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tcPr>
          <w:p w14:paraId="7257E970">
            <w:pPr>
              <w:jc w:val="center"/>
              <w:rPr>
                <w:rFonts w:asciiTheme="minorEastAsia" w:hAnsiTheme="minorEastAsia" w:eastAsiaTheme="minorEastAsia"/>
                <w:i w:val="0"/>
                <w:iCs w:val="0"/>
                <w:color w:val="auto"/>
                <w:sz w:val="24"/>
                <w:szCs w:val="24"/>
                <w:highlight w:val="none"/>
                <w:u w:val="none"/>
              </w:rPr>
            </w:pPr>
            <w:r>
              <w:rPr>
                <w:rFonts w:hint="eastAsia" w:asciiTheme="minorEastAsia" w:hAnsiTheme="minorEastAsia" w:eastAsiaTheme="minorEastAsia"/>
                <w:i w:val="0"/>
                <w:iCs w:val="0"/>
                <w:color w:val="auto"/>
                <w:sz w:val="24"/>
                <w:szCs w:val="24"/>
                <w:highlight w:val="none"/>
                <w:u w:val="none"/>
              </w:rPr>
              <w:t>3</w:t>
            </w:r>
          </w:p>
        </w:tc>
        <w:tc>
          <w:tcPr>
            <w:tcW w:w="8087" w:type="dxa"/>
          </w:tcPr>
          <w:p w14:paraId="31A362CD">
            <w:pPr>
              <w:rPr>
                <w:rFonts w:asciiTheme="minorEastAsia" w:hAnsiTheme="minorEastAsia" w:eastAsiaTheme="minorEastAsia"/>
                <w:i w:val="0"/>
                <w:iCs w:val="0"/>
                <w:color w:val="auto"/>
                <w:sz w:val="24"/>
                <w:szCs w:val="24"/>
                <w:highlight w:val="none"/>
                <w:u w:val="none"/>
              </w:rPr>
            </w:pPr>
            <w:r>
              <w:rPr>
                <w:rFonts w:asciiTheme="minorEastAsia" w:hAnsiTheme="minorEastAsia" w:eastAsiaTheme="minorEastAsia"/>
                <w:b/>
                <w:i w:val="0"/>
                <w:iCs w:val="0"/>
                <w:color w:val="auto"/>
                <w:sz w:val="24"/>
                <w:szCs w:val="24"/>
                <w:highlight w:val="none"/>
                <w:u w:val="none"/>
              </w:rPr>
              <w:t>五、服务标准</w:t>
            </w:r>
          </w:p>
          <w:p w14:paraId="641228B7">
            <w:pPr>
              <w:rPr>
                <w:rFonts w:asciiTheme="minorEastAsia" w:hAnsiTheme="minorEastAsia" w:eastAsiaTheme="minorEastAsia"/>
                <w:b/>
                <w:i w:val="0"/>
                <w:iCs w:val="0"/>
                <w:color w:val="auto"/>
                <w:sz w:val="24"/>
                <w:szCs w:val="24"/>
                <w:highlight w:val="none"/>
                <w:u w:val="none"/>
              </w:rPr>
            </w:pPr>
            <w:r>
              <w:rPr>
                <w:rFonts w:hint="eastAsia" w:asciiTheme="minorEastAsia" w:hAnsiTheme="minorEastAsia" w:eastAsiaTheme="minorEastAsia"/>
                <w:i w:val="0"/>
                <w:iCs w:val="0"/>
                <w:color w:val="auto"/>
                <w:sz w:val="24"/>
                <w:szCs w:val="24"/>
                <w:highlight w:val="none"/>
                <w:u w:val="none"/>
              </w:rPr>
              <w:t>按照《江苏海洋大学校园保安服务细则》执行。</w:t>
            </w:r>
          </w:p>
        </w:tc>
      </w:tr>
      <w:tr w14:paraId="0F872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vAlign w:val="center"/>
          </w:tcPr>
          <w:p w14:paraId="454C8CEF">
            <w:pPr>
              <w:jc w:val="center"/>
              <w:rPr>
                <w:rFonts w:asciiTheme="minorEastAsia" w:hAnsiTheme="minorEastAsia" w:eastAsiaTheme="minorEastAsia"/>
                <w:i w:val="0"/>
                <w:iCs w:val="0"/>
                <w:color w:val="auto"/>
                <w:sz w:val="24"/>
                <w:szCs w:val="24"/>
                <w:highlight w:val="none"/>
                <w:u w:val="none"/>
              </w:rPr>
            </w:pPr>
            <w:r>
              <w:rPr>
                <w:rFonts w:asciiTheme="minorEastAsia" w:hAnsiTheme="minorEastAsia" w:eastAsiaTheme="minorEastAsia"/>
                <w:i w:val="0"/>
                <w:iCs w:val="0"/>
                <w:color w:val="auto"/>
                <w:sz w:val="24"/>
                <w:szCs w:val="24"/>
                <w:highlight w:val="none"/>
                <w:u w:val="none"/>
              </w:rPr>
              <w:t>4</w:t>
            </w:r>
          </w:p>
        </w:tc>
        <w:tc>
          <w:tcPr>
            <w:tcW w:w="8087" w:type="dxa"/>
          </w:tcPr>
          <w:p w14:paraId="24C78F6F">
            <w:pPr>
              <w:rPr>
                <w:rFonts w:asciiTheme="minorEastAsia" w:hAnsiTheme="minorEastAsia" w:eastAsiaTheme="minorEastAsia"/>
                <w:i w:val="0"/>
                <w:iCs w:val="0"/>
                <w:color w:val="auto"/>
                <w:sz w:val="24"/>
                <w:szCs w:val="24"/>
                <w:highlight w:val="none"/>
                <w:u w:val="none"/>
              </w:rPr>
            </w:pPr>
            <w:r>
              <w:rPr>
                <w:rFonts w:asciiTheme="minorEastAsia" w:hAnsiTheme="minorEastAsia" w:eastAsiaTheme="minorEastAsia"/>
                <w:b/>
                <w:i w:val="0"/>
                <w:iCs w:val="0"/>
                <w:color w:val="auto"/>
                <w:sz w:val="24"/>
                <w:szCs w:val="24"/>
                <w:highlight w:val="none"/>
                <w:u w:val="none"/>
              </w:rPr>
              <w:t>八、付款方式与履约保证金</w:t>
            </w:r>
          </w:p>
          <w:p w14:paraId="16D64A4D">
            <w:pPr>
              <w:ind w:firstLine="480" w:firstLineChars="200"/>
              <w:rPr>
                <w:rFonts w:asciiTheme="minorEastAsia" w:hAnsiTheme="minorEastAsia" w:eastAsiaTheme="minorEastAsia"/>
                <w:i w:val="0"/>
                <w:iCs w:val="0"/>
                <w:color w:val="auto"/>
                <w:sz w:val="24"/>
                <w:szCs w:val="24"/>
                <w:highlight w:val="none"/>
                <w:u w:val="none"/>
              </w:rPr>
            </w:pPr>
            <w:r>
              <w:rPr>
                <w:rFonts w:asciiTheme="minorEastAsia" w:hAnsiTheme="minorEastAsia" w:eastAsiaTheme="minorEastAsia"/>
                <w:i w:val="0"/>
                <w:iCs w:val="0"/>
                <w:color w:val="auto"/>
                <w:sz w:val="24"/>
                <w:szCs w:val="24"/>
                <w:highlight w:val="none"/>
                <w:u w:val="none"/>
              </w:rPr>
              <w:t>1、</w:t>
            </w:r>
            <w:r>
              <w:rPr>
                <w:rFonts w:hint="eastAsia" w:asciiTheme="minorEastAsia" w:hAnsiTheme="minorEastAsia" w:eastAsiaTheme="minorEastAsia"/>
                <w:i w:val="0"/>
                <w:iCs w:val="0"/>
                <w:color w:val="auto"/>
                <w:sz w:val="24"/>
                <w:szCs w:val="24"/>
                <w:highlight w:val="none"/>
                <w:u w:val="none"/>
              </w:rPr>
              <w:t>付款方式：</w:t>
            </w:r>
          </w:p>
          <w:p w14:paraId="35ED2F8F">
            <w:pPr>
              <w:ind w:firstLine="480" w:firstLineChars="200"/>
              <w:rPr>
                <w:rFonts w:asciiTheme="minorEastAsia" w:hAnsiTheme="minorEastAsia" w:eastAsiaTheme="minorEastAsia"/>
                <w:i w:val="0"/>
                <w:iCs w:val="0"/>
                <w:color w:val="auto"/>
                <w:sz w:val="24"/>
                <w:szCs w:val="24"/>
                <w:highlight w:val="none"/>
                <w:u w:val="none"/>
              </w:rPr>
            </w:pPr>
            <w:r>
              <w:rPr>
                <w:rFonts w:hint="eastAsia" w:asciiTheme="minorEastAsia" w:hAnsiTheme="minorEastAsia" w:eastAsiaTheme="minorEastAsia"/>
                <w:i w:val="0"/>
                <w:iCs w:val="0"/>
                <w:color w:val="auto"/>
                <w:sz w:val="24"/>
                <w:szCs w:val="24"/>
                <w:highlight w:val="none"/>
                <w:u w:val="none"/>
              </w:rPr>
              <w:t>根据季度考核结果，次月15日前支付该季度服务费。</w:t>
            </w:r>
          </w:p>
          <w:p w14:paraId="674654A4">
            <w:pPr>
              <w:ind w:firstLine="480"/>
              <w:jc w:val="left"/>
              <w:rPr>
                <w:rFonts w:asciiTheme="minorEastAsia" w:hAnsiTheme="minorEastAsia" w:eastAsiaTheme="minorEastAsia"/>
                <w:i w:val="0"/>
                <w:iCs w:val="0"/>
                <w:color w:val="auto"/>
                <w:sz w:val="24"/>
                <w:szCs w:val="24"/>
                <w:highlight w:val="none"/>
                <w:u w:val="none"/>
              </w:rPr>
            </w:pPr>
            <w:r>
              <w:rPr>
                <w:rFonts w:hint="eastAsia" w:asciiTheme="minorEastAsia" w:hAnsiTheme="minorEastAsia" w:eastAsiaTheme="minorEastAsia"/>
                <w:i w:val="0"/>
                <w:iCs w:val="0"/>
                <w:color w:val="auto"/>
                <w:sz w:val="24"/>
                <w:szCs w:val="24"/>
                <w:highlight w:val="none"/>
                <w:u w:val="none"/>
              </w:rPr>
              <w:t>对满足合同约定支付条件的，采购人自收到发票后30日内将资金支付到合同约定的供应商账户(以发票开具日期计算)。</w:t>
            </w:r>
          </w:p>
          <w:p w14:paraId="102A13AA">
            <w:pPr>
              <w:ind w:firstLine="480"/>
              <w:rPr>
                <w:rFonts w:asciiTheme="minorEastAsia" w:hAnsiTheme="minorEastAsia" w:eastAsiaTheme="minorEastAsia"/>
                <w:i w:val="0"/>
                <w:iCs w:val="0"/>
                <w:color w:val="auto"/>
                <w:sz w:val="24"/>
                <w:szCs w:val="24"/>
                <w:highlight w:val="none"/>
                <w:u w:val="none"/>
              </w:rPr>
            </w:pPr>
            <w:r>
              <w:rPr>
                <w:rFonts w:asciiTheme="minorEastAsia" w:hAnsiTheme="minorEastAsia" w:eastAsiaTheme="minorEastAsia"/>
                <w:i w:val="0"/>
                <w:iCs w:val="0"/>
                <w:color w:val="auto"/>
                <w:sz w:val="24"/>
                <w:szCs w:val="24"/>
                <w:highlight w:val="none"/>
                <w:u w:val="none"/>
              </w:rPr>
              <w:t>2、履约保证金</w:t>
            </w:r>
          </w:p>
          <w:p w14:paraId="39410C71">
            <w:pPr>
              <w:ind w:firstLine="240" w:firstLineChars="100"/>
              <w:jc w:val="left"/>
              <w:rPr>
                <w:rFonts w:asciiTheme="minorEastAsia" w:hAnsiTheme="minorEastAsia" w:eastAsiaTheme="minorEastAsia"/>
                <w:i w:val="0"/>
                <w:iCs w:val="0"/>
                <w:color w:val="auto"/>
                <w:sz w:val="24"/>
                <w:szCs w:val="24"/>
                <w:highlight w:val="none"/>
                <w:u w:val="none"/>
              </w:rPr>
            </w:pPr>
            <w:r>
              <w:rPr>
                <w:rFonts w:hint="eastAsia" w:asciiTheme="minorEastAsia" w:hAnsiTheme="minorEastAsia" w:eastAsiaTheme="minorEastAsia"/>
                <w:i w:val="0"/>
                <w:iCs w:val="0"/>
                <w:color w:val="auto"/>
                <w:sz w:val="24"/>
                <w:szCs w:val="24"/>
                <w:highlight w:val="none"/>
                <w:u w:val="none"/>
              </w:rPr>
              <w:t>（1）本项目履约保证金为合同金额的5%。</w:t>
            </w:r>
          </w:p>
        </w:tc>
      </w:tr>
    </w:tbl>
    <w:p w14:paraId="4E06B75B">
      <w:pPr>
        <w:ind w:firstLine="480"/>
        <w:rPr>
          <w:rFonts w:ascii="Times New Roman" w:hAnsi="Times New Roman"/>
          <w:i w:val="0"/>
          <w:iCs w:val="0"/>
          <w:color w:val="auto"/>
          <w:sz w:val="24"/>
          <w:szCs w:val="24"/>
          <w:highlight w:val="none"/>
          <w:u w:val="none"/>
        </w:rPr>
      </w:pPr>
    </w:p>
    <w:p w14:paraId="72B4EBAE">
      <w:pPr>
        <w:spacing w:line="360" w:lineRule="auto"/>
        <w:ind w:firstLine="562"/>
        <w:rPr>
          <w:rFonts w:ascii="Times New Roman" w:hAnsi="Times New Roman"/>
          <w:b/>
          <w:i w:val="0"/>
          <w:iCs w:val="0"/>
          <w:color w:val="auto"/>
          <w:sz w:val="24"/>
          <w:szCs w:val="24"/>
          <w:highlight w:val="none"/>
          <w:u w:val="none"/>
        </w:rPr>
      </w:pPr>
      <w:r>
        <w:rPr>
          <w:rFonts w:ascii="Times New Roman" w:hAnsi="Times New Roman"/>
          <w:b/>
          <w:i w:val="0"/>
          <w:iCs w:val="0"/>
          <w:color w:val="auto"/>
          <w:sz w:val="24"/>
          <w:szCs w:val="24"/>
          <w:highlight w:val="none"/>
          <w:u w:val="none"/>
        </w:rPr>
        <w:t>一、项目概况（或背景或主要建设内容）</w:t>
      </w:r>
    </w:p>
    <w:p w14:paraId="31D37E50">
      <w:pPr>
        <w:spacing w:line="360" w:lineRule="auto"/>
        <w:ind w:firstLine="480" w:firstLineChars="20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江苏海洋大学宋跳和通灌校区现有保安服务合同将于2026年7月底届满，合同到期后需重新采购保安服务以保障校园安全。校园安全是高校正常教学、科研、生活秩序的核心保障。为持续维护校区安全稳定，规范校园安保管理流程，防范各类安全风险，满足校区门卫值守、巡逻防控、监控值班、消防值守等全方位安保需求，特立项开展本次保安服务采购工作，确保安保工作的连续性、规范性和专业性。</w:t>
      </w:r>
    </w:p>
    <w:p w14:paraId="5A3E8ECA">
      <w:pPr>
        <w:spacing w:line="360" w:lineRule="auto"/>
        <w:ind w:firstLine="480" w:firstLineChars="20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本项目保安服务期限为3年，自2026年8月1日起至2029年7月31日止，服务期间需确保安保工作无缝衔接，无值守空档。</w:t>
      </w:r>
    </w:p>
    <w:p w14:paraId="31516057">
      <w:pPr>
        <w:spacing w:line="360" w:lineRule="auto"/>
        <w:ind w:firstLine="480" w:firstLineChars="20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本次招标按校园安保岗位规范设置，共计配备保安人员30名，人员配置须严格符合以下要求：</w:t>
      </w:r>
    </w:p>
    <w:p w14:paraId="041C15EC">
      <w:pPr>
        <w:spacing w:line="360" w:lineRule="auto"/>
        <w:ind w:firstLine="480" w:firstLineChars="20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 xml:space="preserve"> 年龄要求：保安人员年龄原则上不超过50周岁；</w:t>
      </w:r>
    </w:p>
    <w:p w14:paraId="57B8438E">
      <w:pPr>
        <w:spacing w:line="360" w:lineRule="auto"/>
        <w:ind w:firstLine="480" w:firstLineChars="20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 xml:space="preserve"> 健康要求：所有保安人员需提供有效健康证明，确保身体健康、无慢性病史及不适宜安保岗位的疾病；</w:t>
      </w:r>
    </w:p>
    <w:p w14:paraId="18FEDE71">
      <w:pPr>
        <w:spacing w:line="360" w:lineRule="auto"/>
        <w:ind w:firstLine="480" w:firstLineChars="20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人员管理：服务期间，岗位调整及人员更换必须经校方书面批准后方可执行，全程保证各岗位人员足额到位，不得擅自缺岗、换岗。</w:t>
      </w:r>
    </w:p>
    <w:p w14:paraId="276BBF08">
      <w:pPr>
        <w:pStyle w:val="2"/>
        <w:ind w:firstLine="480" w:firstLineChars="200"/>
        <w:rPr>
          <w:rFonts w:ascii="宋体" w:hAnsi="宋体" w:cs="仿宋_GB2312"/>
          <w:i w:val="0"/>
          <w:iCs w:val="0"/>
          <w:color w:val="auto"/>
          <w:kern w:val="2"/>
          <w:sz w:val="24"/>
          <w:highlight w:val="none"/>
          <w:u w:val="none"/>
          <w:lang w:eastAsia="zh-CN"/>
        </w:rPr>
      </w:pPr>
      <w:r>
        <w:rPr>
          <w:rFonts w:hint="eastAsia" w:ascii="宋体" w:hAnsi="宋体" w:cs="仿宋_GB2312"/>
          <w:i w:val="0"/>
          <w:iCs w:val="0"/>
          <w:color w:val="auto"/>
          <w:kern w:val="2"/>
          <w:sz w:val="24"/>
          <w:highlight w:val="none"/>
          <w:u w:val="none"/>
          <w:lang w:eastAsia="zh-CN"/>
        </w:rPr>
        <w:t>服务范围：本次保安服务范围覆盖通灌、宋跳两个校区的全部安保相关工作，具体包括但不限于：</w:t>
      </w:r>
    </w:p>
    <w:p w14:paraId="56160538">
      <w:pPr>
        <w:spacing w:line="360" w:lineRule="auto"/>
        <w:ind w:firstLine="480" w:firstLineChars="20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门卫日常管理：负责校区出入口值守、人员及车辆进出登记、查验等工作；</w:t>
      </w:r>
    </w:p>
    <w:p w14:paraId="19DBEE7D">
      <w:pPr>
        <w:spacing w:line="360" w:lineRule="auto"/>
        <w:ind w:firstLine="480" w:firstLineChars="20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定点安全值守：负责两校区内部及门前区域的安全值守，保障校区公共秩序；</w:t>
      </w:r>
    </w:p>
    <w:p w14:paraId="4E61A6DC">
      <w:pPr>
        <w:spacing w:line="360" w:lineRule="auto"/>
        <w:ind w:firstLine="480" w:firstLineChars="20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校园安全巡逻：负责校区全域常态化巡逻，排查安全隐患、处置突发情况；</w:t>
      </w:r>
    </w:p>
    <w:p w14:paraId="77ACED98">
      <w:pPr>
        <w:spacing w:line="360" w:lineRule="auto"/>
        <w:ind w:firstLine="480" w:firstLineChars="20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监控指挥中心值班：负责监控设备实时值守、异常情况上报及处置；</w:t>
      </w:r>
    </w:p>
    <w:p w14:paraId="2E71D606">
      <w:pPr>
        <w:spacing w:line="360" w:lineRule="auto"/>
        <w:ind w:firstLine="480" w:firstLineChars="20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消防控制室值班：负责消防设施设备值守、消防隐患排查及应急处置。</w:t>
      </w:r>
    </w:p>
    <w:p w14:paraId="4B6D8437">
      <w:pPr>
        <w:spacing w:line="360" w:lineRule="auto"/>
        <w:ind w:firstLine="480" w:firstLineChars="200"/>
        <w:rPr>
          <w:rFonts w:ascii="Times New Roman" w:hAnsi="Times New Roman"/>
          <w:b/>
          <w:i w:val="0"/>
          <w:iCs w:val="0"/>
          <w:color w:val="auto"/>
          <w:sz w:val="24"/>
          <w:szCs w:val="24"/>
          <w:highlight w:val="none"/>
          <w:u w:val="none"/>
        </w:rPr>
      </w:pPr>
      <w:r>
        <w:rPr>
          <w:rFonts w:ascii="Times New Roman" w:hAnsi="Times New Roman"/>
          <w:b/>
          <w:i w:val="0"/>
          <w:iCs w:val="0"/>
          <w:color w:val="auto"/>
          <w:sz w:val="24"/>
          <w:szCs w:val="24"/>
          <w:highlight w:val="none"/>
          <w:u w:val="none"/>
        </w:rPr>
        <w:t>二、服务技术要求</w:t>
      </w:r>
    </w:p>
    <w:p w14:paraId="43761376">
      <w:pPr>
        <w:spacing w:line="360" w:lineRule="auto"/>
        <w:ind w:firstLine="480"/>
        <w:rPr>
          <w:rFonts w:ascii="Times New Roman" w:hAnsi="Times New Roman"/>
          <w:i w:val="0"/>
          <w:iCs w:val="0"/>
          <w:color w:val="auto"/>
          <w:sz w:val="24"/>
          <w:szCs w:val="24"/>
          <w:highlight w:val="none"/>
          <w:u w:val="none"/>
        </w:rPr>
      </w:pPr>
      <w:r>
        <w:rPr>
          <w:rFonts w:ascii="Times New Roman" w:hAnsi="Times New Roman"/>
          <w:i w:val="0"/>
          <w:iCs w:val="0"/>
          <w:color w:val="auto"/>
          <w:sz w:val="24"/>
          <w:szCs w:val="24"/>
          <w:highlight w:val="none"/>
          <w:u w:val="none"/>
        </w:rPr>
        <w:t>1、服务范围（服务内容）</w:t>
      </w:r>
    </w:p>
    <w:p w14:paraId="23D57BC6">
      <w:pPr>
        <w:pStyle w:val="2"/>
        <w:ind w:firstLine="480"/>
        <w:rPr>
          <w:i w:val="0"/>
          <w:iCs w:val="0"/>
          <w:color w:val="auto"/>
          <w:sz w:val="24"/>
          <w:highlight w:val="none"/>
          <w:u w:val="none"/>
          <w:lang w:eastAsia="zh-CN"/>
        </w:rPr>
      </w:pPr>
      <w:r>
        <w:rPr>
          <w:rFonts w:hint="eastAsia"/>
          <w:i w:val="0"/>
          <w:iCs w:val="0"/>
          <w:color w:val="auto"/>
          <w:sz w:val="24"/>
          <w:highlight w:val="none"/>
          <w:u w:val="none"/>
          <w:lang w:eastAsia="zh-CN"/>
        </w:rPr>
        <w:t>涉及通灌、宋跳两个校区全部</w:t>
      </w:r>
      <w:r>
        <w:rPr>
          <w:rFonts w:hint="eastAsia" w:ascii="宋体" w:hAnsi="宋体" w:cs="仿宋_GB2312"/>
          <w:i w:val="0"/>
          <w:iCs w:val="0"/>
          <w:color w:val="auto"/>
          <w:kern w:val="2"/>
          <w:sz w:val="24"/>
          <w:highlight w:val="none"/>
          <w:u w:val="none"/>
          <w:lang w:eastAsia="zh-CN"/>
        </w:rPr>
        <w:t>安保相关工作</w:t>
      </w:r>
      <w:r>
        <w:rPr>
          <w:rFonts w:hint="eastAsia"/>
          <w:i w:val="0"/>
          <w:iCs w:val="0"/>
          <w:color w:val="auto"/>
          <w:sz w:val="24"/>
          <w:highlight w:val="none"/>
          <w:u w:val="none"/>
          <w:lang w:eastAsia="zh-CN"/>
        </w:rPr>
        <w:t>。</w:t>
      </w:r>
    </w:p>
    <w:p w14:paraId="4FFA0F9B">
      <w:pPr>
        <w:pStyle w:val="2"/>
        <w:ind w:firstLine="480"/>
        <w:rPr>
          <w:i w:val="0"/>
          <w:iCs w:val="0"/>
          <w:color w:val="auto"/>
          <w:sz w:val="24"/>
          <w:highlight w:val="none"/>
          <w:u w:val="none"/>
          <w:lang w:eastAsia="zh-CN"/>
        </w:rPr>
      </w:pPr>
      <w:r>
        <w:rPr>
          <w:rFonts w:hint="eastAsia"/>
          <w:i w:val="0"/>
          <w:iCs w:val="0"/>
          <w:color w:val="auto"/>
          <w:sz w:val="24"/>
          <w:highlight w:val="none"/>
          <w:u w:val="none"/>
          <w:lang w:eastAsia="zh-CN"/>
        </w:rPr>
        <w:t>2、服务要求：</w:t>
      </w:r>
    </w:p>
    <w:p w14:paraId="5F97036B">
      <w:pPr>
        <w:spacing w:line="360" w:lineRule="auto"/>
        <w:ind w:firstLine="480" w:firstLineChars="200"/>
        <w:rPr>
          <w:rFonts w:ascii="Times New Roman" w:hAnsi="Times New Roman"/>
          <w:i w:val="0"/>
          <w:iCs w:val="0"/>
          <w:color w:val="auto"/>
          <w:sz w:val="24"/>
          <w:szCs w:val="24"/>
          <w:highlight w:val="none"/>
          <w:u w:val="none"/>
        </w:rPr>
      </w:pPr>
      <w:r>
        <w:rPr>
          <w:rFonts w:hint="eastAsia" w:ascii="仿宋" w:hAnsi="仿宋" w:eastAsia="仿宋"/>
          <w:i w:val="0"/>
          <w:iCs w:val="0"/>
          <w:color w:val="auto"/>
          <w:kern w:val="2"/>
          <w:sz w:val="24"/>
          <w:szCs w:val="24"/>
          <w:highlight w:val="none"/>
          <w:u w:val="none"/>
        </w:rPr>
        <w:t>2.1</w:t>
      </w:r>
      <w:r>
        <w:rPr>
          <w:rFonts w:hint="eastAsia" w:ascii="Times New Roman" w:hAnsi="Times New Roman"/>
          <w:i w:val="0"/>
          <w:iCs w:val="0"/>
          <w:color w:val="auto"/>
          <w:sz w:val="24"/>
          <w:szCs w:val="24"/>
          <w:highlight w:val="none"/>
          <w:u w:val="none"/>
        </w:rPr>
        <w:t>门卫日常管理：承担江苏海洋大学通灌校区、宋跳校区校门的日常管理。严格执行《江苏海洋大学门卫管理制度》。熟悉校区内各部门所在位置及分布情况；统一着装，姿态端正；文明值班，严肃交接班程序；来客来访登记；货物出入登记盘查；24小时安全值守和秩序维护，接报警处置、记录，发现问题及时处理和报告；应急处理突发性事件等。</w:t>
      </w:r>
    </w:p>
    <w:p w14:paraId="3F6AFF41">
      <w:pPr>
        <w:spacing w:line="360" w:lineRule="auto"/>
        <w:ind w:firstLine="480" w:firstLineChars="200"/>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2.2校园安全巡逻：承担江苏海洋大学通灌校区、宋跳校区校区内安全巡逻和突发事件处理，以及重点部位的巡逻。按照规定时间和规定路线巡逻，着装整齐，文明巡逻；制止和劝阻校园内一切违法违纪和不文明行为；发现干扰校园教学、办公、生活秩序者和其他不安全隐患时，要及时处理和报告；应急处理突发性事件等。</w:t>
      </w:r>
    </w:p>
    <w:p w14:paraId="06CF4339">
      <w:pPr>
        <w:spacing w:line="360" w:lineRule="auto"/>
        <w:ind w:firstLine="480" w:firstLineChars="200"/>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2.3监控室值班：承担监控室值班，及时掌握监控信息，对监控过程中发现的情况及时进行处理和上报；不得随意离岗离位，掌握监控设施的工作原理、功能和操作规程，对监控设施进行每日检查，并填写《监控室值班记录》。校园安保、消防、交通设施设备日常使用、维护。</w:t>
      </w:r>
    </w:p>
    <w:p w14:paraId="5A246882">
      <w:pPr>
        <w:pStyle w:val="2"/>
        <w:ind w:firstLine="480"/>
        <w:rPr>
          <w:i w:val="0"/>
          <w:iCs w:val="0"/>
          <w:color w:val="auto"/>
          <w:sz w:val="24"/>
          <w:highlight w:val="none"/>
          <w:u w:val="none"/>
          <w:lang w:eastAsia="zh-CN"/>
        </w:rPr>
      </w:pPr>
      <w:r>
        <w:rPr>
          <w:rFonts w:hint="eastAsia"/>
          <w:i w:val="0"/>
          <w:iCs w:val="0"/>
          <w:color w:val="auto"/>
          <w:sz w:val="24"/>
          <w:highlight w:val="none"/>
          <w:u w:val="none"/>
          <w:lang w:eastAsia="zh-CN"/>
        </w:rPr>
        <w:t>2</w:t>
      </w:r>
      <w:r>
        <w:rPr>
          <w:i w:val="0"/>
          <w:iCs w:val="0"/>
          <w:color w:val="auto"/>
          <w:sz w:val="24"/>
          <w:highlight w:val="none"/>
          <w:u w:val="none"/>
          <w:lang w:eastAsia="zh-CN"/>
        </w:rPr>
        <w:t>.4</w:t>
      </w:r>
      <w:r>
        <w:rPr>
          <w:rFonts w:hint="eastAsia"/>
          <w:i w:val="0"/>
          <w:iCs w:val="0"/>
          <w:color w:val="auto"/>
          <w:sz w:val="24"/>
          <w:highlight w:val="none"/>
          <w:u w:val="none"/>
          <w:lang w:eastAsia="zh-CN"/>
        </w:rPr>
        <w:t>消防控制室值班：承担消防控制室值班，及时掌握消防监控信息，对监控过程中发现的情况及时进行处理和上报；值班人员必须严格按照规定时间上下班，不得随意离岗离位，掌握消防设施的工作原理、功能和操作规程，对消防设施进行每日检查，并填写《消防控制室值班记录》。</w:t>
      </w:r>
    </w:p>
    <w:p w14:paraId="566BF098">
      <w:pPr>
        <w:spacing w:line="360" w:lineRule="auto"/>
        <w:ind w:firstLine="482"/>
        <w:rPr>
          <w:rFonts w:ascii="Times New Roman" w:hAnsi="Times New Roman"/>
          <w:i w:val="0"/>
          <w:iCs w:val="0"/>
          <w:color w:val="auto"/>
          <w:sz w:val="24"/>
          <w:szCs w:val="24"/>
          <w:highlight w:val="none"/>
          <w:u w:val="none"/>
        </w:rPr>
      </w:pPr>
      <w:r>
        <w:rPr>
          <w:rFonts w:ascii="Times New Roman" w:hAnsi="Times New Roman"/>
          <w:b/>
          <w:i w:val="0"/>
          <w:iCs w:val="0"/>
          <w:color w:val="auto"/>
          <w:sz w:val="24"/>
          <w:szCs w:val="24"/>
          <w:highlight w:val="none"/>
          <w:u w:val="none"/>
        </w:rPr>
        <w:t>三、人员配备要求</w:t>
      </w:r>
    </w:p>
    <w:p w14:paraId="05F9E511">
      <w:pPr>
        <w:spacing w:line="360" w:lineRule="auto"/>
        <w:ind w:firstLine="480" w:firstLineChars="20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本次招标按岗位设置共计30人，年龄原则上不得超过50周岁，上岗前必须进行健康体检（每年体检一次），确保身体健康，无慢性病史，岗位调整换人必须有校方批准后执行并保证人员足额，具体见附表要求。</w:t>
      </w:r>
    </w:p>
    <w:p w14:paraId="5ED57B97">
      <w:pPr>
        <w:spacing w:line="360" w:lineRule="auto"/>
        <w:ind w:firstLine="480" w:firstLineChars="20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附表：岗位设置基本要求</w:t>
      </w:r>
    </w:p>
    <w:tbl>
      <w:tblPr>
        <w:tblStyle w:val="8"/>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992"/>
        <w:gridCol w:w="6459"/>
      </w:tblGrid>
      <w:tr w14:paraId="2287D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21E04DA5">
            <w:pPr>
              <w:snapToGrid w:val="0"/>
              <w:jc w:val="center"/>
              <w:rPr>
                <w:rFonts w:hint="eastAsia" w:ascii="仿宋_GB2312" w:hAnsi="仿宋_GB2312"/>
                <w:i w:val="0"/>
                <w:iCs w:val="0"/>
                <w:color w:val="auto"/>
                <w:kern w:val="2"/>
                <w:sz w:val="24"/>
                <w:szCs w:val="24"/>
                <w:highlight w:val="none"/>
                <w:u w:val="none"/>
              </w:rPr>
            </w:pPr>
            <w:r>
              <w:rPr>
                <w:rFonts w:ascii="仿宋_GB2312" w:hAnsi="仿宋_GB2312"/>
                <w:i w:val="0"/>
                <w:iCs w:val="0"/>
                <w:color w:val="auto"/>
                <w:kern w:val="2"/>
                <w:sz w:val="24"/>
                <w:szCs w:val="24"/>
                <w:highlight w:val="none"/>
                <w:u w:val="none"/>
              </w:rPr>
              <w:t>岗  位</w:t>
            </w:r>
          </w:p>
        </w:tc>
        <w:tc>
          <w:tcPr>
            <w:tcW w:w="992" w:type="dxa"/>
            <w:tcBorders>
              <w:top w:val="single" w:color="auto" w:sz="4" w:space="0"/>
              <w:left w:val="single" w:color="auto" w:sz="4" w:space="0"/>
              <w:bottom w:val="single" w:color="auto" w:sz="4" w:space="0"/>
              <w:right w:val="single" w:color="auto" w:sz="4" w:space="0"/>
            </w:tcBorders>
            <w:vAlign w:val="center"/>
          </w:tcPr>
          <w:p w14:paraId="12FE4955">
            <w:pPr>
              <w:snapToGrid w:val="0"/>
              <w:jc w:val="center"/>
              <w:rPr>
                <w:rFonts w:hint="eastAsia" w:ascii="仿宋_GB2312" w:hAnsi="仿宋_GB2312"/>
                <w:i w:val="0"/>
                <w:iCs w:val="0"/>
                <w:color w:val="auto"/>
                <w:kern w:val="2"/>
                <w:sz w:val="24"/>
                <w:szCs w:val="24"/>
                <w:highlight w:val="none"/>
                <w:u w:val="none"/>
              </w:rPr>
            </w:pPr>
            <w:r>
              <w:rPr>
                <w:rFonts w:ascii="仿宋_GB2312" w:hAnsi="仿宋_GB2312"/>
                <w:i w:val="0"/>
                <w:iCs w:val="0"/>
                <w:color w:val="auto"/>
                <w:kern w:val="2"/>
                <w:sz w:val="24"/>
                <w:szCs w:val="24"/>
                <w:highlight w:val="none"/>
                <w:u w:val="none"/>
              </w:rPr>
              <w:t>人数</w:t>
            </w:r>
          </w:p>
          <w:p w14:paraId="350F84E8">
            <w:pPr>
              <w:snapToGrid w:val="0"/>
              <w:jc w:val="center"/>
              <w:rPr>
                <w:rFonts w:hint="eastAsia" w:ascii="仿宋_GB2312" w:hAnsi="仿宋_GB2312"/>
                <w:i w:val="0"/>
                <w:iCs w:val="0"/>
                <w:color w:val="auto"/>
                <w:kern w:val="2"/>
                <w:sz w:val="24"/>
                <w:szCs w:val="24"/>
                <w:highlight w:val="none"/>
                <w:u w:val="none"/>
              </w:rPr>
            </w:pPr>
            <w:r>
              <w:rPr>
                <w:rFonts w:ascii="仿宋_GB2312" w:hAnsi="仿宋_GB2312"/>
                <w:i w:val="0"/>
                <w:iCs w:val="0"/>
                <w:color w:val="auto"/>
                <w:kern w:val="2"/>
                <w:sz w:val="24"/>
                <w:szCs w:val="24"/>
                <w:highlight w:val="none"/>
                <w:u w:val="none"/>
              </w:rPr>
              <w:t>（人）</w:t>
            </w:r>
          </w:p>
        </w:tc>
        <w:tc>
          <w:tcPr>
            <w:tcW w:w="6459" w:type="dxa"/>
            <w:tcBorders>
              <w:top w:val="single" w:color="auto" w:sz="4" w:space="0"/>
              <w:left w:val="single" w:color="auto" w:sz="4" w:space="0"/>
              <w:bottom w:val="single" w:color="auto" w:sz="4" w:space="0"/>
              <w:right w:val="single" w:color="auto" w:sz="4" w:space="0"/>
            </w:tcBorders>
            <w:vAlign w:val="center"/>
          </w:tcPr>
          <w:p w14:paraId="2F6A77EF">
            <w:pPr>
              <w:snapToGrid w:val="0"/>
              <w:jc w:val="center"/>
              <w:rPr>
                <w:rFonts w:hint="eastAsia" w:ascii="仿宋_GB2312" w:hAnsi="仿宋_GB2312"/>
                <w:i w:val="0"/>
                <w:iCs w:val="0"/>
                <w:color w:val="auto"/>
                <w:kern w:val="2"/>
                <w:sz w:val="24"/>
                <w:szCs w:val="24"/>
                <w:highlight w:val="none"/>
                <w:u w:val="none"/>
              </w:rPr>
            </w:pPr>
            <w:r>
              <w:rPr>
                <w:rFonts w:ascii="仿宋_GB2312" w:hAnsi="仿宋_GB2312"/>
                <w:i w:val="0"/>
                <w:iCs w:val="0"/>
                <w:color w:val="auto"/>
                <w:kern w:val="2"/>
                <w:sz w:val="24"/>
                <w:szCs w:val="24"/>
                <w:highlight w:val="none"/>
                <w:u w:val="none"/>
              </w:rPr>
              <w:t>岗位要求</w:t>
            </w:r>
          </w:p>
        </w:tc>
      </w:tr>
      <w:tr w14:paraId="5ECB1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5161996D">
            <w:pPr>
              <w:snapToGrid w:val="0"/>
              <w:jc w:val="center"/>
              <w:rPr>
                <w:rFonts w:hint="eastAsia" w:ascii="仿宋_GB2312" w:hAnsi="仿宋_GB2312"/>
                <w:i w:val="0"/>
                <w:iCs w:val="0"/>
                <w:color w:val="auto"/>
                <w:kern w:val="2"/>
                <w:sz w:val="24"/>
                <w:szCs w:val="24"/>
                <w:highlight w:val="none"/>
                <w:u w:val="none"/>
              </w:rPr>
            </w:pPr>
            <w:r>
              <w:rPr>
                <w:rFonts w:ascii="仿宋_GB2312" w:hAnsi="仿宋_GB2312"/>
                <w:i w:val="0"/>
                <w:iCs w:val="0"/>
                <w:color w:val="auto"/>
                <w:kern w:val="2"/>
                <w:sz w:val="24"/>
                <w:szCs w:val="24"/>
                <w:highlight w:val="none"/>
                <w:u w:val="none"/>
              </w:rPr>
              <w:t>项目经理</w:t>
            </w:r>
          </w:p>
        </w:tc>
        <w:tc>
          <w:tcPr>
            <w:tcW w:w="992" w:type="dxa"/>
            <w:tcBorders>
              <w:top w:val="single" w:color="auto" w:sz="4" w:space="0"/>
              <w:left w:val="single" w:color="auto" w:sz="4" w:space="0"/>
              <w:bottom w:val="single" w:color="auto" w:sz="4" w:space="0"/>
              <w:right w:val="single" w:color="auto" w:sz="4" w:space="0"/>
            </w:tcBorders>
            <w:vAlign w:val="center"/>
          </w:tcPr>
          <w:p w14:paraId="2847CF57">
            <w:pPr>
              <w:snapToGrid w:val="0"/>
              <w:jc w:val="center"/>
              <w:rPr>
                <w:rFonts w:hint="eastAsia" w:ascii="仿宋_GB2312" w:hAnsi="仿宋_GB2312"/>
                <w:i w:val="0"/>
                <w:iCs w:val="0"/>
                <w:color w:val="auto"/>
                <w:kern w:val="2"/>
                <w:sz w:val="24"/>
                <w:szCs w:val="24"/>
                <w:highlight w:val="none"/>
                <w:u w:val="none"/>
              </w:rPr>
            </w:pPr>
            <w:r>
              <w:rPr>
                <w:rFonts w:ascii="仿宋_GB2312" w:hAnsi="仿宋_GB2312"/>
                <w:i w:val="0"/>
                <w:iCs w:val="0"/>
                <w:color w:val="auto"/>
                <w:kern w:val="2"/>
                <w:sz w:val="24"/>
                <w:szCs w:val="24"/>
                <w:highlight w:val="none"/>
                <w:u w:val="none"/>
              </w:rPr>
              <w:t>1</w:t>
            </w:r>
          </w:p>
        </w:tc>
        <w:tc>
          <w:tcPr>
            <w:tcW w:w="6459" w:type="dxa"/>
            <w:tcBorders>
              <w:top w:val="single" w:color="auto" w:sz="4" w:space="0"/>
              <w:left w:val="single" w:color="auto" w:sz="4" w:space="0"/>
              <w:bottom w:val="single" w:color="auto" w:sz="4" w:space="0"/>
              <w:right w:val="single" w:color="auto" w:sz="4" w:space="0"/>
            </w:tcBorders>
            <w:vAlign w:val="center"/>
          </w:tcPr>
          <w:p w14:paraId="65EA0B94">
            <w:pPr>
              <w:snapToGrid w:val="0"/>
              <w:rPr>
                <w:rFonts w:hint="eastAsia" w:ascii="仿宋_GB2312" w:hAnsi="仿宋_GB2312"/>
                <w:i w:val="0"/>
                <w:iCs w:val="0"/>
                <w:color w:val="auto"/>
                <w:kern w:val="2"/>
                <w:sz w:val="24"/>
                <w:szCs w:val="24"/>
                <w:highlight w:val="none"/>
                <w:u w:val="none"/>
              </w:rPr>
            </w:pPr>
            <w:r>
              <w:rPr>
                <w:rFonts w:ascii="仿宋_GB2312" w:hAnsi="仿宋_GB2312"/>
                <w:i w:val="0"/>
                <w:iCs w:val="0"/>
                <w:color w:val="auto"/>
                <w:kern w:val="2"/>
                <w:sz w:val="24"/>
                <w:szCs w:val="24"/>
                <w:highlight w:val="none"/>
                <w:u w:val="none"/>
              </w:rPr>
              <w:t>能够对所有保安人员做好日常管理，制定工作计划，带领项目组所有成员做好安全保卫工作，确保辖区人、财、物的安全，协助学校处理突发事件，男性，大专文凭，</w:t>
            </w:r>
            <w:r>
              <w:rPr>
                <w:rFonts w:hint="eastAsia" w:ascii="仿宋_GB2312" w:hAnsi="仿宋_GB2312"/>
                <w:i w:val="0"/>
                <w:iCs w:val="0"/>
                <w:color w:val="auto"/>
                <w:kern w:val="2"/>
                <w:sz w:val="24"/>
                <w:szCs w:val="24"/>
                <w:highlight w:val="none"/>
                <w:u w:val="none"/>
              </w:rPr>
              <w:t>（工作地点通灌校区）</w:t>
            </w:r>
            <w:r>
              <w:rPr>
                <w:rFonts w:ascii="仿宋_GB2312" w:hAnsi="仿宋_GB2312"/>
                <w:i w:val="0"/>
                <w:iCs w:val="0"/>
                <w:color w:val="auto"/>
                <w:kern w:val="2"/>
                <w:sz w:val="24"/>
                <w:szCs w:val="24"/>
                <w:highlight w:val="none"/>
                <w:u w:val="none"/>
              </w:rPr>
              <w:t>。</w:t>
            </w:r>
          </w:p>
        </w:tc>
      </w:tr>
      <w:tr w14:paraId="511E8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305E5C3D">
            <w:pPr>
              <w:snapToGrid w:val="0"/>
              <w:jc w:val="center"/>
              <w:rPr>
                <w:rFonts w:hint="eastAsia" w:ascii="仿宋_GB2312" w:hAnsi="仿宋_GB2312"/>
                <w:i w:val="0"/>
                <w:iCs w:val="0"/>
                <w:color w:val="auto"/>
                <w:kern w:val="2"/>
                <w:sz w:val="24"/>
                <w:szCs w:val="24"/>
                <w:highlight w:val="none"/>
                <w:u w:val="none"/>
              </w:rPr>
            </w:pPr>
            <w:r>
              <w:rPr>
                <w:rFonts w:hint="eastAsia" w:ascii="仿宋_GB2312" w:hAnsi="仿宋_GB2312"/>
                <w:i w:val="0"/>
                <w:iCs w:val="0"/>
                <w:color w:val="auto"/>
                <w:kern w:val="2"/>
                <w:sz w:val="24"/>
                <w:szCs w:val="24"/>
                <w:highlight w:val="none"/>
                <w:u w:val="none"/>
              </w:rPr>
              <w:t xml:space="preserve"> </w:t>
            </w:r>
            <w:bookmarkStart w:id="21" w:name="OLE_LINK31"/>
            <w:r>
              <w:rPr>
                <w:rFonts w:ascii="仿宋_GB2312" w:hAnsi="仿宋_GB2312"/>
                <w:i w:val="0"/>
                <w:iCs w:val="0"/>
                <w:color w:val="auto"/>
                <w:kern w:val="2"/>
                <w:sz w:val="24"/>
                <w:szCs w:val="24"/>
                <w:highlight w:val="none"/>
                <w:u w:val="none"/>
              </w:rPr>
              <w:t>门卫日常管理</w:t>
            </w:r>
            <w:bookmarkEnd w:id="21"/>
          </w:p>
        </w:tc>
        <w:tc>
          <w:tcPr>
            <w:tcW w:w="992" w:type="dxa"/>
            <w:tcBorders>
              <w:top w:val="single" w:color="auto" w:sz="4" w:space="0"/>
              <w:left w:val="single" w:color="auto" w:sz="4" w:space="0"/>
              <w:bottom w:val="single" w:color="auto" w:sz="4" w:space="0"/>
              <w:right w:val="single" w:color="auto" w:sz="4" w:space="0"/>
            </w:tcBorders>
            <w:vAlign w:val="center"/>
          </w:tcPr>
          <w:p w14:paraId="2F054E6D">
            <w:pPr>
              <w:snapToGrid w:val="0"/>
              <w:jc w:val="center"/>
              <w:rPr>
                <w:rFonts w:hint="eastAsia" w:ascii="仿宋_GB2312" w:hAnsi="仿宋_GB2312"/>
                <w:i w:val="0"/>
                <w:iCs w:val="0"/>
                <w:color w:val="auto"/>
                <w:kern w:val="2"/>
                <w:sz w:val="24"/>
                <w:szCs w:val="24"/>
                <w:highlight w:val="none"/>
                <w:u w:val="none"/>
              </w:rPr>
            </w:pPr>
            <w:r>
              <w:rPr>
                <w:rFonts w:hint="eastAsia" w:ascii="仿宋_GB2312" w:hAnsi="仿宋_GB2312"/>
                <w:i w:val="0"/>
                <w:iCs w:val="0"/>
                <w:color w:val="auto"/>
                <w:kern w:val="2"/>
                <w:sz w:val="24"/>
                <w:szCs w:val="24"/>
                <w:highlight w:val="none"/>
                <w:u w:val="none"/>
              </w:rPr>
              <w:t>20</w:t>
            </w:r>
          </w:p>
        </w:tc>
        <w:tc>
          <w:tcPr>
            <w:tcW w:w="6459" w:type="dxa"/>
            <w:tcBorders>
              <w:top w:val="single" w:color="auto" w:sz="4" w:space="0"/>
              <w:left w:val="single" w:color="auto" w:sz="4" w:space="0"/>
              <w:bottom w:val="single" w:color="auto" w:sz="4" w:space="0"/>
              <w:right w:val="single" w:color="auto" w:sz="4" w:space="0"/>
            </w:tcBorders>
            <w:vAlign w:val="center"/>
          </w:tcPr>
          <w:p w14:paraId="799E8343">
            <w:pPr>
              <w:snapToGrid w:val="0"/>
              <w:rPr>
                <w:rFonts w:hint="eastAsia" w:ascii="仿宋_GB2312" w:hAnsi="仿宋_GB2312"/>
                <w:i w:val="0"/>
                <w:iCs w:val="0"/>
                <w:color w:val="auto"/>
                <w:kern w:val="2"/>
                <w:sz w:val="24"/>
                <w:szCs w:val="24"/>
                <w:highlight w:val="none"/>
                <w:u w:val="none"/>
              </w:rPr>
            </w:pPr>
            <w:r>
              <w:rPr>
                <w:rFonts w:ascii="仿宋_GB2312" w:hAnsi="仿宋_GB2312"/>
                <w:i w:val="0"/>
                <w:iCs w:val="0"/>
                <w:color w:val="auto"/>
                <w:kern w:val="2"/>
                <w:sz w:val="24"/>
                <w:szCs w:val="24"/>
                <w:highlight w:val="none"/>
                <w:u w:val="none"/>
              </w:rPr>
              <w:t>男性，持有保安员证。</w:t>
            </w:r>
            <w:r>
              <w:rPr>
                <w:rFonts w:hint="eastAsia" w:ascii="宋体" w:hAnsi="宋体" w:cs="仿宋_GB2312"/>
                <w:i w:val="0"/>
                <w:iCs w:val="0"/>
                <w:color w:val="auto"/>
                <w:kern w:val="2"/>
                <w:sz w:val="24"/>
                <w:szCs w:val="24"/>
                <w:highlight w:val="none"/>
                <w:u w:val="none"/>
              </w:rPr>
              <w:t>24小时有符合值班要求的人员值班</w:t>
            </w:r>
            <w:r>
              <w:rPr>
                <w:rFonts w:ascii="仿宋_GB2312" w:hAnsi="仿宋_GB2312"/>
                <w:i w:val="0"/>
                <w:iCs w:val="0"/>
                <w:color w:val="auto"/>
                <w:kern w:val="2"/>
                <w:sz w:val="24"/>
                <w:szCs w:val="24"/>
                <w:highlight w:val="none"/>
                <w:u w:val="none"/>
              </w:rPr>
              <w:t>。</w:t>
            </w:r>
            <w:r>
              <w:rPr>
                <w:rFonts w:hint="eastAsia" w:ascii="仿宋_GB2312" w:hAnsi="仿宋_GB2312"/>
                <w:i w:val="0"/>
                <w:iCs w:val="0"/>
                <w:color w:val="auto"/>
                <w:kern w:val="2"/>
                <w:sz w:val="24"/>
                <w:szCs w:val="24"/>
                <w:highlight w:val="none"/>
                <w:u w:val="none"/>
              </w:rPr>
              <w:t>（通灌校区11人，宋跳校区9人）</w:t>
            </w:r>
          </w:p>
        </w:tc>
      </w:tr>
      <w:tr w14:paraId="2AB98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01302314">
            <w:pPr>
              <w:snapToGrid w:val="0"/>
              <w:jc w:val="center"/>
              <w:rPr>
                <w:rFonts w:hint="eastAsia" w:ascii="仿宋_GB2312" w:hAnsi="仿宋_GB2312"/>
                <w:i w:val="0"/>
                <w:iCs w:val="0"/>
                <w:color w:val="auto"/>
                <w:kern w:val="2"/>
                <w:sz w:val="24"/>
                <w:szCs w:val="24"/>
                <w:highlight w:val="none"/>
                <w:u w:val="none"/>
              </w:rPr>
            </w:pPr>
            <w:bookmarkStart w:id="22" w:name="OLE_LINK32"/>
            <w:r>
              <w:rPr>
                <w:rFonts w:ascii="仿宋_GB2312" w:hAnsi="仿宋_GB2312"/>
                <w:i w:val="0"/>
                <w:iCs w:val="0"/>
                <w:color w:val="auto"/>
                <w:kern w:val="2"/>
                <w:sz w:val="24"/>
                <w:szCs w:val="24"/>
                <w:highlight w:val="none"/>
                <w:u w:val="none"/>
              </w:rPr>
              <w:t>校园安全巡逻</w:t>
            </w:r>
            <w:bookmarkEnd w:id="22"/>
          </w:p>
        </w:tc>
        <w:tc>
          <w:tcPr>
            <w:tcW w:w="992" w:type="dxa"/>
            <w:tcBorders>
              <w:top w:val="single" w:color="auto" w:sz="4" w:space="0"/>
              <w:left w:val="single" w:color="auto" w:sz="4" w:space="0"/>
              <w:bottom w:val="single" w:color="auto" w:sz="4" w:space="0"/>
              <w:right w:val="single" w:color="auto" w:sz="4" w:space="0"/>
            </w:tcBorders>
            <w:vAlign w:val="center"/>
          </w:tcPr>
          <w:p w14:paraId="2EBE5BBB">
            <w:pPr>
              <w:snapToGrid w:val="0"/>
              <w:jc w:val="center"/>
              <w:rPr>
                <w:rFonts w:hint="eastAsia" w:ascii="仿宋_GB2312" w:hAnsi="仿宋_GB2312"/>
                <w:i w:val="0"/>
                <w:iCs w:val="0"/>
                <w:color w:val="auto"/>
                <w:kern w:val="2"/>
                <w:sz w:val="24"/>
                <w:szCs w:val="24"/>
                <w:highlight w:val="none"/>
                <w:u w:val="none"/>
              </w:rPr>
            </w:pPr>
            <w:r>
              <w:rPr>
                <w:rFonts w:hint="eastAsia" w:ascii="仿宋_GB2312" w:hAnsi="仿宋_GB2312"/>
                <w:i w:val="0"/>
                <w:iCs w:val="0"/>
                <w:color w:val="auto"/>
                <w:kern w:val="2"/>
                <w:sz w:val="24"/>
                <w:szCs w:val="24"/>
                <w:highlight w:val="none"/>
                <w:u w:val="none"/>
              </w:rPr>
              <w:t>2</w:t>
            </w:r>
          </w:p>
        </w:tc>
        <w:tc>
          <w:tcPr>
            <w:tcW w:w="6459" w:type="dxa"/>
            <w:tcBorders>
              <w:top w:val="single" w:color="auto" w:sz="4" w:space="0"/>
              <w:left w:val="single" w:color="auto" w:sz="4" w:space="0"/>
              <w:bottom w:val="single" w:color="auto" w:sz="4" w:space="0"/>
              <w:right w:val="single" w:color="auto" w:sz="4" w:space="0"/>
            </w:tcBorders>
            <w:vAlign w:val="center"/>
          </w:tcPr>
          <w:p w14:paraId="57D1E7E1">
            <w:pPr>
              <w:snapToGrid w:val="0"/>
              <w:rPr>
                <w:rFonts w:hint="eastAsia" w:ascii="仿宋_GB2312" w:hAnsi="仿宋_GB2312"/>
                <w:i w:val="0"/>
                <w:iCs w:val="0"/>
                <w:color w:val="auto"/>
                <w:kern w:val="2"/>
                <w:sz w:val="24"/>
                <w:szCs w:val="24"/>
                <w:highlight w:val="none"/>
                <w:u w:val="none"/>
              </w:rPr>
            </w:pPr>
            <w:r>
              <w:rPr>
                <w:rFonts w:ascii="仿宋_GB2312" w:hAnsi="仿宋_GB2312"/>
                <w:i w:val="0"/>
                <w:iCs w:val="0"/>
                <w:color w:val="auto"/>
                <w:kern w:val="2"/>
                <w:sz w:val="24"/>
                <w:szCs w:val="24"/>
                <w:highlight w:val="none"/>
                <w:u w:val="none"/>
              </w:rPr>
              <w:t>男性，持有保安员证。</w:t>
            </w:r>
            <w:r>
              <w:rPr>
                <w:rFonts w:hint="eastAsia" w:ascii="宋体" w:hAnsi="宋体" w:cs="仿宋_GB2312"/>
                <w:i w:val="0"/>
                <w:iCs w:val="0"/>
                <w:color w:val="auto"/>
                <w:kern w:val="2"/>
                <w:sz w:val="24"/>
                <w:szCs w:val="24"/>
                <w:highlight w:val="none"/>
                <w:u w:val="none"/>
              </w:rPr>
              <w:t>24小时有符合值班要求的人员值班。</w:t>
            </w:r>
            <w:r>
              <w:rPr>
                <w:rFonts w:hint="eastAsia" w:ascii="仿宋_GB2312" w:hAnsi="仿宋_GB2312"/>
                <w:i w:val="0"/>
                <w:iCs w:val="0"/>
                <w:color w:val="auto"/>
                <w:kern w:val="2"/>
                <w:sz w:val="24"/>
                <w:szCs w:val="24"/>
                <w:highlight w:val="none"/>
                <w:u w:val="none"/>
              </w:rPr>
              <w:t>（工作地点通灌校区）</w:t>
            </w:r>
          </w:p>
        </w:tc>
      </w:tr>
      <w:tr w14:paraId="4F12B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17745A27">
            <w:pPr>
              <w:jc w:val="center"/>
              <w:rPr>
                <w:rFonts w:hint="eastAsia" w:ascii="仿宋_GB2312" w:hAnsi="仿宋_GB2312"/>
                <w:i w:val="0"/>
                <w:iCs w:val="0"/>
                <w:color w:val="auto"/>
                <w:kern w:val="2"/>
                <w:sz w:val="24"/>
                <w:szCs w:val="24"/>
                <w:highlight w:val="none"/>
                <w:u w:val="none"/>
              </w:rPr>
            </w:pPr>
            <w:bookmarkStart w:id="23" w:name="OLE_LINK33"/>
            <w:r>
              <w:rPr>
                <w:rFonts w:hint="eastAsia" w:ascii="宋体" w:hAnsi="宋体"/>
                <w:i w:val="0"/>
                <w:iCs w:val="0"/>
                <w:color w:val="auto"/>
                <w:kern w:val="2"/>
                <w:sz w:val="24"/>
                <w:szCs w:val="24"/>
                <w:highlight w:val="none"/>
                <w:u w:val="none"/>
              </w:rPr>
              <w:t>巡检员(监控室值班员)</w:t>
            </w:r>
            <w:bookmarkEnd w:id="23"/>
          </w:p>
        </w:tc>
        <w:tc>
          <w:tcPr>
            <w:tcW w:w="992" w:type="dxa"/>
            <w:tcBorders>
              <w:top w:val="single" w:color="auto" w:sz="4" w:space="0"/>
              <w:left w:val="single" w:color="auto" w:sz="4" w:space="0"/>
              <w:bottom w:val="single" w:color="auto" w:sz="4" w:space="0"/>
              <w:right w:val="single" w:color="auto" w:sz="4" w:space="0"/>
            </w:tcBorders>
            <w:vAlign w:val="center"/>
          </w:tcPr>
          <w:p w14:paraId="05CBFBFE">
            <w:pPr>
              <w:jc w:val="center"/>
              <w:rPr>
                <w:rFonts w:hint="eastAsia" w:ascii="仿宋_GB2312" w:hAnsi="仿宋_GB2312"/>
                <w:i w:val="0"/>
                <w:iCs w:val="0"/>
                <w:color w:val="auto"/>
                <w:kern w:val="2"/>
                <w:sz w:val="24"/>
                <w:szCs w:val="24"/>
                <w:highlight w:val="none"/>
                <w:u w:val="none"/>
              </w:rPr>
            </w:pPr>
            <w:r>
              <w:rPr>
                <w:rFonts w:hint="eastAsia" w:ascii="宋体" w:hAnsi="宋体"/>
                <w:i w:val="0"/>
                <w:iCs w:val="0"/>
                <w:color w:val="auto"/>
                <w:kern w:val="2"/>
                <w:sz w:val="24"/>
                <w:szCs w:val="24"/>
                <w:highlight w:val="none"/>
                <w:u w:val="none"/>
              </w:rPr>
              <w:t>3</w:t>
            </w:r>
          </w:p>
        </w:tc>
        <w:tc>
          <w:tcPr>
            <w:tcW w:w="6459" w:type="dxa"/>
            <w:tcBorders>
              <w:top w:val="single" w:color="auto" w:sz="4" w:space="0"/>
              <w:left w:val="single" w:color="auto" w:sz="4" w:space="0"/>
              <w:bottom w:val="single" w:color="auto" w:sz="4" w:space="0"/>
              <w:right w:val="single" w:color="auto" w:sz="4" w:space="0"/>
            </w:tcBorders>
          </w:tcPr>
          <w:p w14:paraId="01DBF007">
            <w:pPr>
              <w:rPr>
                <w:rFonts w:hint="eastAsia" w:ascii="仿宋_GB2312" w:hAnsi="仿宋_GB2312"/>
                <w:i w:val="0"/>
                <w:iCs w:val="0"/>
                <w:color w:val="auto"/>
                <w:kern w:val="2"/>
                <w:sz w:val="24"/>
                <w:szCs w:val="24"/>
                <w:highlight w:val="none"/>
                <w:u w:val="none"/>
              </w:rPr>
            </w:pPr>
            <w:r>
              <w:rPr>
                <w:rFonts w:hint="eastAsia" w:ascii="宋体" w:hAnsi="宋体"/>
                <w:i w:val="0"/>
                <w:iCs w:val="0"/>
                <w:color w:val="auto"/>
                <w:kern w:val="2"/>
                <w:sz w:val="24"/>
                <w:szCs w:val="24"/>
                <w:highlight w:val="none"/>
                <w:u w:val="none"/>
              </w:rPr>
              <w:t>持有保安员证。其中至少一名女性；至少一人持消防设施操作员证</w:t>
            </w:r>
            <w:r>
              <w:rPr>
                <w:rFonts w:hint="eastAsia" w:ascii="宋体" w:hAnsi="宋体"/>
                <w:i w:val="0"/>
                <w:iCs w:val="0"/>
                <w:color w:val="auto"/>
                <w:kern w:val="2"/>
                <w:sz w:val="24"/>
                <w:szCs w:val="24"/>
                <w:highlight w:val="none"/>
                <w:u w:val="none"/>
                <w:lang w:eastAsia="zh-CN"/>
              </w:rPr>
              <w:t>（</w:t>
            </w:r>
            <w:r>
              <w:rPr>
                <w:rFonts w:hint="eastAsia" w:ascii="宋体" w:hAnsi="宋体"/>
                <w:i w:val="0"/>
                <w:iCs w:val="0"/>
                <w:color w:val="auto"/>
                <w:kern w:val="2"/>
                <w:sz w:val="24"/>
                <w:szCs w:val="24"/>
                <w:highlight w:val="none"/>
                <w:u w:val="none"/>
                <w:lang w:val="en-US" w:eastAsia="zh-CN"/>
              </w:rPr>
              <w:t>四级</w:t>
            </w:r>
            <w:r>
              <w:rPr>
                <w:rFonts w:hint="eastAsia" w:ascii="宋体" w:hAnsi="宋体"/>
                <w:i w:val="0"/>
                <w:iCs w:val="0"/>
                <w:color w:val="auto"/>
                <w:kern w:val="2"/>
                <w:sz w:val="24"/>
                <w:szCs w:val="24"/>
                <w:highlight w:val="none"/>
                <w:u w:val="none"/>
                <w:lang w:eastAsia="zh-CN"/>
              </w:rPr>
              <w:t>）</w:t>
            </w:r>
            <w:r>
              <w:rPr>
                <w:rFonts w:hint="eastAsia" w:ascii="宋体" w:hAnsi="宋体"/>
                <w:i w:val="0"/>
                <w:iCs w:val="0"/>
                <w:color w:val="auto"/>
                <w:kern w:val="2"/>
                <w:sz w:val="24"/>
                <w:szCs w:val="24"/>
                <w:highlight w:val="none"/>
                <w:u w:val="none"/>
              </w:rPr>
              <w:t>。（工作地点宋跳校区）</w:t>
            </w:r>
          </w:p>
        </w:tc>
      </w:tr>
      <w:tr w14:paraId="50BDD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2B166282">
            <w:pPr>
              <w:snapToGrid w:val="0"/>
              <w:jc w:val="center"/>
              <w:rPr>
                <w:rFonts w:hint="eastAsia" w:ascii="仿宋_GB2312" w:hAnsi="仿宋_GB2312"/>
                <w:i w:val="0"/>
                <w:iCs w:val="0"/>
                <w:color w:val="auto"/>
                <w:kern w:val="2"/>
                <w:sz w:val="24"/>
                <w:szCs w:val="24"/>
                <w:highlight w:val="none"/>
                <w:u w:val="none"/>
              </w:rPr>
            </w:pPr>
            <w:r>
              <w:rPr>
                <w:rFonts w:ascii="仿宋_GB2312" w:hAnsi="仿宋_GB2312"/>
                <w:i w:val="0"/>
                <w:iCs w:val="0"/>
                <w:color w:val="auto"/>
                <w:kern w:val="2"/>
                <w:sz w:val="24"/>
                <w:szCs w:val="24"/>
                <w:highlight w:val="none"/>
                <w:u w:val="none"/>
              </w:rPr>
              <w:t>消防控制室值班</w:t>
            </w:r>
          </w:p>
        </w:tc>
        <w:tc>
          <w:tcPr>
            <w:tcW w:w="992" w:type="dxa"/>
            <w:tcBorders>
              <w:top w:val="single" w:color="auto" w:sz="4" w:space="0"/>
              <w:left w:val="single" w:color="auto" w:sz="4" w:space="0"/>
              <w:bottom w:val="single" w:color="auto" w:sz="4" w:space="0"/>
              <w:right w:val="single" w:color="auto" w:sz="4" w:space="0"/>
            </w:tcBorders>
            <w:vAlign w:val="center"/>
          </w:tcPr>
          <w:p w14:paraId="36DB6494">
            <w:pPr>
              <w:snapToGrid w:val="0"/>
              <w:ind w:left="-113" w:leftChars="-54" w:right="-78" w:rightChars="-37"/>
              <w:jc w:val="center"/>
              <w:rPr>
                <w:rFonts w:hint="eastAsia" w:ascii="仿宋_GB2312" w:hAnsi="仿宋_GB2312"/>
                <w:i w:val="0"/>
                <w:iCs w:val="0"/>
                <w:color w:val="auto"/>
                <w:kern w:val="2"/>
                <w:sz w:val="24"/>
                <w:szCs w:val="24"/>
                <w:highlight w:val="none"/>
                <w:u w:val="none"/>
              </w:rPr>
            </w:pPr>
            <w:r>
              <w:rPr>
                <w:rFonts w:hint="eastAsia" w:ascii="仿宋_GB2312" w:hAnsi="仿宋_GB2312"/>
                <w:i w:val="0"/>
                <w:iCs w:val="0"/>
                <w:color w:val="auto"/>
                <w:kern w:val="2"/>
                <w:sz w:val="24"/>
                <w:szCs w:val="24"/>
                <w:highlight w:val="none"/>
                <w:u w:val="none"/>
              </w:rPr>
              <w:t>4</w:t>
            </w:r>
          </w:p>
        </w:tc>
        <w:tc>
          <w:tcPr>
            <w:tcW w:w="6459" w:type="dxa"/>
            <w:tcBorders>
              <w:top w:val="single" w:color="auto" w:sz="4" w:space="0"/>
              <w:left w:val="single" w:color="auto" w:sz="4" w:space="0"/>
              <w:bottom w:val="single" w:color="auto" w:sz="4" w:space="0"/>
              <w:right w:val="single" w:color="auto" w:sz="4" w:space="0"/>
            </w:tcBorders>
            <w:vAlign w:val="center"/>
          </w:tcPr>
          <w:p w14:paraId="19AE59F5">
            <w:pPr>
              <w:snapToGrid w:val="0"/>
              <w:rPr>
                <w:rFonts w:hint="eastAsia" w:ascii="仿宋_GB2312" w:hAnsi="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男性，具备消防设施操作员四级（中级），能熟练操作消防自动化系统。24小时值班。（工作地点通灌校区）</w:t>
            </w:r>
          </w:p>
        </w:tc>
      </w:tr>
      <w:tr w14:paraId="149CD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1EF3CEFB">
            <w:pPr>
              <w:snapToGrid w:val="0"/>
              <w:jc w:val="center"/>
              <w:rPr>
                <w:rFonts w:hint="eastAsia" w:ascii="仿宋_GB2312" w:hAnsi="仿宋_GB2312"/>
                <w:i w:val="0"/>
                <w:iCs w:val="0"/>
                <w:color w:val="auto"/>
                <w:kern w:val="2"/>
                <w:sz w:val="24"/>
                <w:szCs w:val="24"/>
                <w:highlight w:val="none"/>
                <w:u w:val="none"/>
              </w:rPr>
            </w:pPr>
            <w:r>
              <w:rPr>
                <w:rFonts w:ascii="仿宋_GB2312" w:hAnsi="仿宋_GB2312"/>
                <w:i w:val="0"/>
                <w:iCs w:val="0"/>
                <w:color w:val="auto"/>
                <w:kern w:val="2"/>
                <w:sz w:val="24"/>
                <w:szCs w:val="24"/>
                <w:highlight w:val="none"/>
                <w:u w:val="none"/>
              </w:rPr>
              <w:t>合计</w:t>
            </w:r>
          </w:p>
        </w:tc>
        <w:tc>
          <w:tcPr>
            <w:tcW w:w="992" w:type="dxa"/>
            <w:tcBorders>
              <w:top w:val="single" w:color="auto" w:sz="4" w:space="0"/>
              <w:left w:val="single" w:color="auto" w:sz="4" w:space="0"/>
              <w:bottom w:val="single" w:color="auto" w:sz="4" w:space="0"/>
              <w:right w:val="single" w:color="auto" w:sz="4" w:space="0"/>
            </w:tcBorders>
            <w:vAlign w:val="center"/>
          </w:tcPr>
          <w:p w14:paraId="0A58392C">
            <w:pPr>
              <w:snapToGrid w:val="0"/>
              <w:jc w:val="center"/>
              <w:rPr>
                <w:rFonts w:hint="eastAsia" w:ascii="仿宋_GB2312" w:hAnsi="仿宋_GB2312"/>
                <w:i w:val="0"/>
                <w:iCs w:val="0"/>
                <w:color w:val="auto"/>
                <w:kern w:val="2"/>
                <w:sz w:val="24"/>
                <w:szCs w:val="24"/>
                <w:highlight w:val="none"/>
                <w:u w:val="none"/>
              </w:rPr>
            </w:pPr>
            <w:r>
              <w:rPr>
                <w:rFonts w:hint="eastAsia" w:ascii="仿宋_GB2312" w:hAnsi="仿宋_GB2312"/>
                <w:i w:val="0"/>
                <w:iCs w:val="0"/>
                <w:color w:val="auto"/>
                <w:kern w:val="2"/>
                <w:sz w:val="24"/>
                <w:szCs w:val="24"/>
                <w:highlight w:val="none"/>
                <w:u w:val="none"/>
              </w:rPr>
              <w:t>30</w:t>
            </w:r>
          </w:p>
        </w:tc>
        <w:tc>
          <w:tcPr>
            <w:tcW w:w="6459" w:type="dxa"/>
            <w:tcBorders>
              <w:top w:val="single" w:color="auto" w:sz="4" w:space="0"/>
              <w:left w:val="single" w:color="auto" w:sz="4" w:space="0"/>
              <w:bottom w:val="single" w:color="auto" w:sz="4" w:space="0"/>
              <w:right w:val="single" w:color="auto" w:sz="4" w:space="0"/>
            </w:tcBorders>
            <w:vAlign w:val="center"/>
          </w:tcPr>
          <w:p w14:paraId="7595F31F">
            <w:pPr>
              <w:snapToGrid w:val="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宋跳校区12人须设置一人为保安队长，需持中级</w:t>
            </w:r>
            <w:r>
              <w:rPr>
                <w:rFonts w:ascii="宋体" w:hAnsi="宋体" w:cs="仿宋_GB2312"/>
                <w:i w:val="0"/>
                <w:iCs w:val="0"/>
                <w:color w:val="auto"/>
                <w:kern w:val="2"/>
                <w:sz w:val="24"/>
                <w:szCs w:val="24"/>
                <w:highlight w:val="none"/>
                <w:u w:val="none"/>
              </w:rPr>
              <w:t>保安员</w:t>
            </w:r>
            <w:r>
              <w:rPr>
                <w:rFonts w:hint="eastAsia" w:ascii="宋体" w:hAnsi="宋体" w:cs="仿宋_GB2312"/>
                <w:i w:val="0"/>
                <w:iCs w:val="0"/>
                <w:color w:val="auto"/>
                <w:kern w:val="2"/>
                <w:sz w:val="24"/>
                <w:szCs w:val="24"/>
                <w:highlight w:val="none"/>
                <w:u w:val="none"/>
              </w:rPr>
              <w:t>（四级）</w:t>
            </w:r>
            <w:r>
              <w:rPr>
                <w:rFonts w:ascii="宋体" w:hAnsi="宋体" w:cs="仿宋_GB2312"/>
                <w:i w:val="0"/>
                <w:iCs w:val="0"/>
                <w:color w:val="auto"/>
                <w:kern w:val="2"/>
                <w:sz w:val="24"/>
                <w:szCs w:val="24"/>
                <w:highlight w:val="none"/>
                <w:u w:val="none"/>
              </w:rPr>
              <w:t>或以上</w:t>
            </w:r>
            <w:r>
              <w:rPr>
                <w:rFonts w:hint="eastAsia" w:ascii="宋体" w:hAnsi="宋体" w:cs="仿宋_GB2312"/>
                <w:i w:val="0"/>
                <w:iCs w:val="0"/>
                <w:color w:val="auto"/>
                <w:kern w:val="2"/>
                <w:sz w:val="24"/>
                <w:szCs w:val="24"/>
                <w:highlight w:val="none"/>
                <w:u w:val="none"/>
              </w:rPr>
              <w:t>），具备沟通协调管理能力。</w:t>
            </w:r>
          </w:p>
        </w:tc>
      </w:tr>
    </w:tbl>
    <w:p w14:paraId="2F31E8A9">
      <w:pPr>
        <w:spacing w:line="360" w:lineRule="auto"/>
        <w:ind w:firstLine="480" w:firstLineChars="200"/>
        <w:rPr>
          <w:rFonts w:ascii="宋体" w:hAnsi="宋体"/>
          <w:b/>
          <w:bCs/>
          <w:i w:val="0"/>
          <w:iCs w:val="0"/>
          <w:color w:val="auto"/>
          <w:kern w:val="2"/>
          <w:sz w:val="24"/>
          <w:szCs w:val="24"/>
          <w:highlight w:val="none"/>
          <w:u w:val="none"/>
        </w:rPr>
      </w:pPr>
      <w:r>
        <w:rPr>
          <w:rFonts w:hint="eastAsia" w:ascii="宋体" w:hAnsi="宋体" w:cs="宋体"/>
          <w:i w:val="0"/>
          <w:iCs w:val="0"/>
          <w:color w:val="auto"/>
          <w:kern w:val="2"/>
          <w:sz w:val="24"/>
          <w:szCs w:val="24"/>
          <w:highlight w:val="none"/>
          <w:u w:val="none"/>
        </w:rPr>
        <w:t>注：</w:t>
      </w:r>
      <w:bookmarkStart w:id="24" w:name="OLE_LINK34"/>
      <w:r>
        <w:rPr>
          <w:rFonts w:hint="eastAsia" w:ascii="宋体" w:hAnsi="宋体" w:cs="宋体"/>
          <w:b/>
          <w:bCs/>
          <w:i w:val="0"/>
          <w:iCs w:val="0"/>
          <w:color w:val="auto"/>
          <w:kern w:val="2"/>
          <w:sz w:val="24"/>
          <w:szCs w:val="24"/>
          <w:highlight w:val="none"/>
          <w:u w:val="none"/>
        </w:rPr>
        <w:t>1.</w:t>
      </w:r>
      <w:r>
        <w:rPr>
          <w:rFonts w:hint="eastAsia" w:ascii="宋体" w:hAnsi="宋体"/>
          <w:b/>
          <w:bCs/>
          <w:i w:val="0"/>
          <w:iCs w:val="0"/>
          <w:color w:val="auto"/>
          <w:kern w:val="2"/>
          <w:sz w:val="24"/>
          <w:szCs w:val="24"/>
          <w:highlight w:val="none"/>
          <w:u w:val="none"/>
        </w:rPr>
        <w:t xml:space="preserve"> 各岗位实际配置人数不得低于3</w:t>
      </w:r>
      <w:r>
        <w:rPr>
          <w:rFonts w:ascii="宋体" w:hAnsi="宋体"/>
          <w:b/>
          <w:bCs/>
          <w:i w:val="0"/>
          <w:iCs w:val="0"/>
          <w:color w:val="auto"/>
          <w:kern w:val="2"/>
          <w:sz w:val="24"/>
          <w:szCs w:val="24"/>
          <w:highlight w:val="none"/>
          <w:u w:val="none"/>
        </w:rPr>
        <w:t>0</w:t>
      </w:r>
      <w:r>
        <w:rPr>
          <w:rFonts w:hint="eastAsia" w:ascii="宋体" w:hAnsi="宋体"/>
          <w:b/>
          <w:bCs/>
          <w:i w:val="0"/>
          <w:iCs w:val="0"/>
          <w:color w:val="auto"/>
          <w:kern w:val="2"/>
          <w:sz w:val="24"/>
          <w:szCs w:val="24"/>
          <w:highlight w:val="none"/>
          <w:u w:val="none"/>
        </w:rPr>
        <w:t>人，其中项目经理1人，门卫日常管理</w:t>
      </w:r>
      <w:r>
        <w:rPr>
          <w:rFonts w:ascii="宋体" w:hAnsi="宋体"/>
          <w:b/>
          <w:bCs/>
          <w:i w:val="0"/>
          <w:iCs w:val="0"/>
          <w:color w:val="auto"/>
          <w:kern w:val="2"/>
          <w:sz w:val="24"/>
          <w:szCs w:val="24"/>
          <w:highlight w:val="none"/>
          <w:u w:val="none"/>
        </w:rPr>
        <w:t>20</w:t>
      </w:r>
      <w:r>
        <w:rPr>
          <w:rFonts w:hint="eastAsia" w:ascii="宋体" w:hAnsi="宋体"/>
          <w:b/>
          <w:bCs/>
          <w:i w:val="0"/>
          <w:iCs w:val="0"/>
          <w:color w:val="auto"/>
          <w:kern w:val="2"/>
          <w:sz w:val="24"/>
          <w:szCs w:val="24"/>
          <w:highlight w:val="none"/>
          <w:u w:val="none"/>
        </w:rPr>
        <w:t>人，校园安全巡逻2人，巡检员(监控室值班员)</w:t>
      </w:r>
      <w:r>
        <w:rPr>
          <w:rFonts w:ascii="宋体" w:hAnsi="宋体"/>
          <w:b/>
          <w:bCs/>
          <w:i w:val="0"/>
          <w:iCs w:val="0"/>
          <w:color w:val="auto"/>
          <w:kern w:val="2"/>
          <w:sz w:val="24"/>
          <w:szCs w:val="24"/>
          <w:highlight w:val="none"/>
          <w:u w:val="none"/>
        </w:rPr>
        <w:t>3</w:t>
      </w:r>
      <w:r>
        <w:rPr>
          <w:rFonts w:hint="eastAsia" w:ascii="宋体" w:hAnsi="宋体"/>
          <w:b/>
          <w:bCs/>
          <w:i w:val="0"/>
          <w:iCs w:val="0"/>
          <w:color w:val="auto"/>
          <w:kern w:val="2"/>
          <w:sz w:val="24"/>
          <w:szCs w:val="24"/>
          <w:highlight w:val="none"/>
          <w:u w:val="none"/>
        </w:rPr>
        <w:t>人，消防控制室值班4人。投标人必须书面承诺人员配置要求以及岗位要求，投标文件须提供加盖公章的承诺书(格式自拟)，否则投标无效。</w:t>
      </w:r>
      <w:bookmarkEnd w:id="24"/>
    </w:p>
    <w:p w14:paraId="28B7607B">
      <w:pPr>
        <w:spacing w:line="360" w:lineRule="auto"/>
        <w:ind w:firstLine="482"/>
        <w:rPr>
          <w:rFonts w:ascii="宋体" w:hAnsi="宋体"/>
          <w:b/>
          <w:i w:val="0"/>
          <w:iCs w:val="0"/>
          <w:color w:val="auto"/>
          <w:sz w:val="24"/>
          <w:szCs w:val="24"/>
          <w:highlight w:val="none"/>
          <w:u w:val="none"/>
        </w:rPr>
      </w:pPr>
      <w:r>
        <w:rPr>
          <w:rFonts w:ascii="宋体" w:hAnsi="宋体"/>
          <w:b/>
          <w:i w:val="0"/>
          <w:iCs w:val="0"/>
          <w:color w:val="auto"/>
          <w:sz w:val="24"/>
          <w:szCs w:val="24"/>
          <w:highlight w:val="none"/>
          <w:u w:val="none"/>
        </w:rPr>
        <w:t>四、服务期限</w:t>
      </w:r>
    </w:p>
    <w:p w14:paraId="1DFD144B">
      <w:pPr>
        <w:spacing w:line="360" w:lineRule="auto"/>
        <w:ind w:firstLine="480"/>
        <w:jc w:val="left"/>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3年，自2026年8月1日起至2029年7月31日止。</w:t>
      </w:r>
    </w:p>
    <w:p w14:paraId="11005146">
      <w:pPr>
        <w:spacing w:line="360" w:lineRule="auto"/>
        <w:ind w:firstLine="482"/>
        <w:rPr>
          <w:rFonts w:ascii="Times New Roman" w:hAnsi="Times New Roman"/>
          <w:i w:val="0"/>
          <w:iCs w:val="0"/>
          <w:color w:val="auto"/>
          <w:sz w:val="24"/>
          <w:szCs w:val="24"/>
          <w:highlight w:val="none"/>
          <w:u w:val="none"/>
        </w:rPr>
      </w:pPr>
      <w:r>
        <w:rPr>
          <w:rFonts w:ascii="Times New Roman" w:hAnsi="Times New Roman"/>
          <w:b/>
          <w:i w:val="0"/>
          <w:iCs w:val="0"/>
          <w:color w:val="auto"/>
          <w:sz w:val="24"/>
          <w:szCs w:val="24"/>
          <w:highlight w:val="none"/>
          <w:u w:val="none"/>
        </w:rPr>
        <w:t>五、服务标准</w:t>
      </w:r>
    </w:p>
    <w:p w14:paraId="543A9D9B">
      <w:pPr>
        <w:spacing w:line="360" w:lineRule="auto"/>
        <w:ind w:firstLine="492"/>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按照《江苏海洋大学校园保安服务细则》执行。</w:t>
      </w:r>
    </w:p>
    <w:p w14:paraId="67BD1F78">
      <w:pPr>
        <w:spacing w:line="360" w:lineRule="auto"/>
        <w:ind w:firstLine="482"/>
        <w:rPr>
          <w:rFonts w:ascii="Times New Roman" w:hAnsi="Times New Roman"/>
          <w:b/>
          <w:i w:val="0"/>
          <w:iCs w:val="0"/>
          <w:color w:val="auto"/>
          <w:sz w:val="24"/>
          <w:szCs w:val="24"/>
          <w:highlight w:val="none"/>
          <w:u w:val="none"/>
        </w:rPr>
      </w:pPr>
      <w:r>
        <w:rPr>
          <w:rFonts w:ascii="Times New Roman" w:hAnsi="Times New Roman"/>
          <w:b/>
          <w:i w:val="0"/>
          <w:iCs w:val="0"/>
          <w:color w:val="auto"/>
          <w:sz w:val="24"/>
          <w:szCs w:val="24"/>
          <w:highlight w:val="none"/>
          <w:u w:val="none"/>
        </w:rPr>
        <w:t>六、培训要求</w:t>
      </w:r>
    </w:p>
    <w:p w14:paraId="5D6D2877">
      <w:pPr>
        <w:spacing w:line="360" w:lineRule="auto"/>
        <w:ind w:firstLine="480"/>
        <w:rPr>
          <w:rFonts w:ascii="Times New Roman" w:hAnsi="Times New Roman"/>
          <w:i w:val="0"/>
          <w:iCs w:val="0"/>
          <w:color w:val="auto"/>
          <w:sz w:val="24"/>
          <w:szCs w:val="24"/>
          <w:highlight w:val="none"/>
          <w:u w:val="none"/>
        </w:rPr>
      </w:pPr>
      <w:r>
        <w:rPr>
          <w:rFonts w:ascii="Times New Roman" w:hAnsi="Times New Roman"/>
          <w:i w:val="0"/>
          <w:iCs w:val="0"/>
          <w:color w:val="auto"/>
          <w:sz w:val="24"/>
          <w:szCs w:val="24"/>
          <w:highlight w:val="none"/>
          <w:u w:val="none"/>
        </w:rPr>
        <w:t>成交供应商对进驻学校的保安须进行相关的治安保卫工作培训，并针对学校规章制度、操作流程等规定进行全面岗位培训。</w:t>
      </w:r>
    </w:p>
    <w:p w14:paraId="3FB65052">
      <w:pPr>
        <w:spacing w:line="360" w:lineRule="auto"/>
        <w:ind w:firstLine="482"/>
        <w:rPr>
          <w:rFonts w:ascii="Times New Roman" w:hAnsi="Times New Roman"/>
          <w:b/>
          <w:i w:val="0"/>
          <w:iCs w:val="0"/>
          <w:color w:val="auto"/>
          <w:sz w:val="24"/>
          <w:szCs w:val="24"/>
          <w:highlight w:val="none"/>
          <w:u w:val="none"/>
        </w:rPr>
      </w:pPr>
      <w:r>
        <w:rPr>
          <w:rFonts w:ascii="Times New Roman" w:hAnsi="Times New Roman"/>
          <w:b/>
          <w:i w:val="0"/>
          <w:iCs w:val="0"/>
          <w:color w:val="auto"/>
          <w:sz w:val="24"/>
          <w:szCs w:val="24"/>
          <w:highlight w:val="none"/>
          <w:u w:val="none"/>
        </w:rPr>
        <w:t>七、</w:t>
      </w:r>
      <w:r>
        <w:rPr>
          <w:rFonts w:hint="eastAsia" w:ascii="Times New Roman" w:hAnsi="Times New Roman"/>
          <w:b/>
          <w:i w:val="0"/>
          <w:iCs w:val="0"/>
          <w:color w:val="auto"/>
          <w:sz w:val="24"/>
          <w:szCs w:val="24"/>
          <w:highlight w:val="none"/>
          <w:u w:val="none"/>
        </w:rPr>
        <w:t>受托管理单位（中标人）的权利和义务</w:t>
      </w:r>
    </w:p>
    <w:p w14:paraId="503433A1">
      <w:pPr>
        <w:spacing w:line="360" w:lineRule="auto"/>
        <w:ind w:firstLine="482"/>
        <w:rPr>
          <w:rFonts w:ascii="Times New Roman" w:hAnsi="Times New Roman"/>
          <w:bCs/>
          <w:i w:val="0"/>
          <w:iCs w:val="0"/>
          <w:color w:val="auto"/>
          <w:sz w:val="24"/>
          <w:szCs w:val="24"/>
          <w:highlight w:val="none"/>
          <w:u w:val="none"/>
        </w:rPr>
      </w:pPr>
      <w:r>
        <w:rPr>
          <w:rFonts w:ascii="Times New Roman" w:hAnsi="Times New Roman"/>
          <w:bCs/>
          <w:i w:val="0"/>
          <w:iCs w:val="0"/>
          <w:color w:val="auto"/>
          <w:sz w:val="24"/>
          <w:szCs w:val="24"/>
          <w:highlight w:val="none"/>
          <w:u w:val="none"/>
        </w:rPr>
        <w:t>7</w:t>
      </w:r>
      <w:r>
        <w:rPr>
          <w:rFonts w:hint="eastAsia" w:ascii="Times New Roman" w:hAnsi="Times New Roman"/>
          <w:bCs/>
          <w:i w:val="0"/>
          <w:iCs w:val="0"/>
          <w:color w:val="auto"/>
          <w:sz w:val="24"/>
          <w:szCs w:val="24"/>
          <w:highlight w:val="none"/>
          <w:u w:val="none"/>
        </w:rPr>
        <w:t>.1 中标人经费独立核算，自负盈亏；自备管理办公设施和工作用具。</w:t>
      </w:r>
    </w:p>
    <w:p w14:paraId="7DAD7928">
      <w:pPr>
        <w:spacing w:line="360" w:lineRule="auto"/>
        <w:ind w:firstLine="482"/>
        <w:rPr>
          <w:rFonts w:ascii="Times New Roman" w:hAnsi="Times New Roman"/>
          <w:bCs/>
          <w:i w:val="0"/>
          <w:iCs w:val="0"/>
          <w:color w:val="auto"/>
          <w:sz w:val="24"/>
          <w:szCs w:val="24"/>
          <w:highlight w:val="none"/>
          <w:u w:val="none"/>
        </w:rPr>
      </w:pPr>
      <w:r>
        <w:rPr>
          <w:rFonts w:ascii="Times New Roman" w:hAnsi="Times New Roman"/>
          <w:bCs/>
          <w:i w:val="0"/>
          <w:iCs w:val="0"/>
          <w:color w:val="auto"/>
          <w:sz w:val="24"/>
          <w:szCs w:val="24"/>
          <w:highlight w:val="none"/>
          <w:u w:val="none"/>
        </w:rPr>
        <w:t>7</w:t>
      </w:r>
      <w:r>
        <w:rPr>
          <w:rFonts w:hint="eastAsia" w:ascii="Times New Roman" w:hAnsi="Times New Roman"/>
          <w:bCs/>
          <w:i w:val="0"/>
          <w:iCs w:val="0"/>
          <w:color w:val="auto"/>
          <w:sz w:val="24"/>
          <w:szCs w:val="24"/>
          <w:highlight w:val="none"/>
          <w:u w:val="none"/>
        </w:rPr>
        <w:t>.2 按照学校（采购人）提出的标准和《劳动合同法》要求，中标人有权自行选聘各岗位工作人员，聘用人员允许在当地或原管理人员中招聘，所聘人员需经采购人审核，符合采购人要求后方可签订用人合同。中标人应当根据上级和甲方有关管理制度和规定，结合实际情况，制定切实可行的内部管理规章制度，加强人员管理，提高服务质量和管理水平，并接受采购人的监督管理。</w:t>
      </w:r>
    </w:p>
    <w:p w14:paraId="030DF34A">
      <w:pPr>
        <w:spacing w:line="360" w:lineRule="auto"/>
        <w:ind w:firstLine="482"/>
        <w:rPr>
          <w:rFonts w:ascii="Times New Roman" w:hAnsi="Times New Roman"/>
          <w:bCs/>
          <w:i w:val="0"/>
          <w:iCs w:val="0"/>
          <w:color w:val="auto"/>
          <w:sz w:val="24"/>
          <w:szCs w:val="24"/>
          <w:highlight w:val="none"/>
          <w:u w:val="none"/>
        </w:rPr>
      </w:pPr>
      <w:r>
        <w:rPr>
          <w:rFonts w:ascii="Times New Roman" w:hAnsi="Times New Roman"/>
          <w:bCs/>
          <w:i w:val="0"/>
          <w:iCs w:val="0"/>
          <w:color w:val="auto"/>
          <w:sz w:val="24"/>
          <w:szCs w:val="24"/>
          <w:highlight w:val="none"/>
          <w:u w:val="none"/>
        </w:rPr>
        <w:t>7</w:t>
      </w:r>
      <w:r>
        <w:rPr>
          <w:rFonts w:hint="eastAsia" w:ascii="Times New Roman" w:hAnsi="Times New Roman"/>
          <w:bCs/>
          <w:i w:val="0"/>
          <w:iCs w:val="0"/>
          <w:color w:val="auto"/>
          <w:sz w:val="24"/>
          <w:szCs w:val="24"/>
          <w:highlight w:val="none"/>
          <w:u w:val="none"/>
        </w:rPr>
        <w:t>.3 中标人负责办理所用工作人员的健康证、暂住证、出入证及劳动保险，并独立承担托管期间的刑事、民事责任，劳资、劳动保障医疗、工伤纠纷等，中标人在用工期间发生的任何劳动纠纷与采购人无关。各岗位工作人员用工名单及其基本情况报采购人备案。</w:t>
      </w:r>
    </w:p>
    <w:p w14:paraId="493B05D2">
      <w:pPr>
        <w:spacing w:line="360" w:lineRule="auto"/>
        <w:ind w:firstLine="482"/>
        <w:rPr>
          <w:rFonts w:ascii="Times New Roman" w:hAnsi="Times New Roman"/>
          <w:bCs/>
          <w:i w:val="0"/>
          <w:iCs w:val="0"/>
          <w:color w:val="auto"/>
          <w:sz w:val="24"/>
          <w:szCs w:val="24"/>
          <w:highlight w:val="none"/>
          <w:u w:val="none"/>
        </w:rPr>
      </w:pPr>
      <w:r>
        <w:rPr>
          <w:rFonts w:ascii="Times New Roman" w:hAnsi="Times New Roman"/>
          <w:bCs/>
          <w:i w:val="0"/>
          <w:iCs w:val="0"/>
          <w:color w:val="auto"/>
          <w:sz w:val="24"/>
          <w:szCs w:val="24"/>
          <w:highlight w:val="none"/>
          <w:u w:val="none"/>
        </w:rPr>
        <w:t>7</w:t>
      </w:r>
      <w:r>
        <w:rPr>
          <w:rFonts w:hint="eastAsia" w:ascii="Times New Roman" w:hAnsi="Times New Roman"/>
          <w:bCs/>
          <w:i w:val="0"/>
          <w:iCs w:val="0"/>
          <w:color w:val="auto"/>
          <w:sz w:val="24"/>
          <w:szCs w:val="24"/>
          <w:highlight w:val="none"/>
          <w:u w:val="none"/>
        </w:rPr>
        <w:t>.4 中标人对有违反门卫及校园管理其他规定的行为，应按职责予以纠正，必要时提请采购人有关部门协助处理。</w:t>
      </w:r>
    </w:p>
    <w:p w14:paraId="785B1C02">
      <w:pPr>
        <w:spacing w:line="360" w:lineRule="auto"/>
        <w:ind w:firstLine="482"/>
        <w:rPr>
          <w:rFonts w:ascii="Times New Roman" w:hAnsi="Times New Roman"/>
          <w:bCs/>
          <w:i w:val="0"/>
          <w:iCs w:val="0"/>
          <w:color w:val="auto"/>
          <w:sz w:val="24"/>
          <w:szCs w:val="24"/>
          <w:highlight w:val="none"/>
          <w:u w:val="none"/>
        </w:rPr>
      </w:pPr>
      <w:r>
        <w:rPr>
          <w:rFonts w:ascii="Times New Roman" w:hAnsi="Times New Roman"/>
          <w:bCs/>
          <w:i w:val="0"/>
          <w:iCs w:val="0"/>
          <w:color w:val="auto"/>
          <w:sz w:val="24"/>
          <w:szCs w:val="24"/>
          <w:highlight w:val="none"/>
          <w:u w:val="none"/>
        </w:rPr>
        <w:t>7</w:t>
      </w:r>
      <w:r>
        <w:rPr>
          <w:rFonts w:hint="eastAsia" w:ascii="Times New Roman" w:hAnsi="Times New Roman"/>
          <w:bCs/>
          <w:i w:val="0"/>
          <w:iCs w:val="0"/>
          <w:color w:val="auto"/>
          <w:sz w:val="24"/>
          <w:szCs w:val="24"/>
          <w:highlight w:val="none"/>
          <w:u w:val="none"/>
        </w:rPr>
        <w:t xml:space="preserve">.5 中标人各岗位用水、用电，若公共用电和保安用电未进行切分，按照电费总量的10%收取，水费按实际发生额的50%收取；若保安用电和公共用电独立计量，则按照水电费总量的50%收取。 </w:t>
      </w:r>
    </w:p>
    <w:p w14:paraId="5A4E7DF3">
      <w:pPr>
        <w:spacing w:line="360" w:lineRule="auto"/>
        <w:ind w:firstLine="482"/>
        <w:rPr>
          <w:rFonts w:ascii="Times New Roman" w:hAnsi="Times New Roman"/>
          <w:bCs/>
          <w:i w:val="0"/>
          <w:iCs w:val="0"/>
          <w:color w:val="auto"/>
          <w:sz w:val="24"/>
          <w:szCs w:val="24"/>
          <w:highlight w:val="none"/>
          <w:u w:val="none"/>
        </w:rPr>
      </w:pPr>
      <w:r>
        <w:rPr>
          <w:rFonts w:ascii="Times New Roman" w:hAnsi="Times New Roman"/>
          <w:bCs/>
          <w:i w:val="0"/>
          <w:iCs w:val="0"/>
          <w:color w:val="auto"/>
          <w:sz w:val="24"/>
          <w:szCs w:val="24"/>
          <w:highlight w:val="none"/>
          <w:u w:val="none"/>
        </w:rPr>
        <w:t>7</w:t>
      </w:r>
      <w:r>
        <w:rPr>
          <w:rFonts w:hint="eastAsia" w:ascii="Times New Roman" w:hAnsi="Times New Roman"/>
          <w:bCs/>
          <w:i w:val="0"/>
          <w:iCs w:val="0"/>
          <w:color w:val="auto"/>
          <w:sz w:val="24"/>
          <w:szCs w:val="24"/>
          <w:highlight w:val="none"/>
          <w:u w:val="none"/>
        </w:rPr>
        <w:t>.6 中标人应当自觉履行标书的承诺和确定的管理服务项目及质量标准，在采购人的指导下，进行服务、管理、育人一体化全方位管理运作，并根据采购人学生情况更新工作模式与方法，及时有效地调整其工作内容。</w:t>
      </w:r>
    </w:p>
    <w:p w14:paraId="1042AB9F">
      <w:pPr>
        <w:spacing w:line="360" w:lineRule="auto"/>
        <w:ind w:firstLine="482"/>
        <w:rPr>
          <w:rFonts w:ascii="Times New Roman" w:hAnsi="Times New Roman"/>
          <w:bCs/>
          <w:i w:val="0"/>
          <w:iCs w:val="0"/>
          <w:color w:val="auto"/>
          <w:sz w:val="24"/>
          <w:szCs w:val="24"/>
          <w:highlight w:val="none"/>
          <w:u w:val="none"/>
        </w:rPr>
      </w:pPr>
      <w:r>
        <w:rPr>
          <w:rFonts w:ascii="Times New Roman" w:hAnsi="Times New Roman"/>
          <w:bCs/>
          <w:i w:val="0"/>
          <w:iCs w:val="0"/>
          <w:color w:val="auto"/>
          <w:sz w:val="24"/>
          <w:szCs w:val="24"/>
          <w:highlight w:val="none"/>
          <w:u w:val="none"/>
        </w:rPr>
        <w:t>7</w:t>
      </w:r>
      <w:r>
        <w:rPr>
          <w:rFonts w:hint="eastAsia" w:ascii="Times New Roman" w:hAnsi="Times New Roman"/>
          <w:bCs/>
          <w:i w:val="0"/>
          <w:iCs w:val="0"/>
          <w:color w:val="auto"/>
          <w:sz w:val="24"/>
          <w:szCs w:val="24"/>
          <w:highlight w:val="none"/>
          <w:u w:val="none"/>
        </w:rPr>
        <w:t>.7 中标人应当按照《江苏海洋大学校园保安服务细则》规范管理，积极主动履行相应的各项义务，做好各项服务工作；按照学校委托管理考核办法，定期接受学校考核。</w:t>
      </w:r>
    </w:p>
    <w:p w14:paraId="68BEAC28">
      <w:pPr>
        <w:spacing w:line="360" w:lineRule="auto"/>
        <w:ind w:firstLine="482"/>
        <w:rPr>
          <w:rFonts w:ascii="Times New Roman" w:hAnsi="Times New Roman"/>
          <w:bCs/>
          <w:i w:val="0"/>
          <w:iCs w:val="0"/>
          <w:color w:val="auto"/>
          <w:sz w:val="24"/>
          <w:szCs w:val="24"/>
          <w:highlight w:val="none"/>
          <w:u w:val="none"/>
        </w:rPr>
      </w:pPr>
      <w:r>
        <w:rPr>
          <w:rFonts w:ascii="Times New Roman" w:hAnsi="Times New Roman"/>
          <w:bCs/>
          <w:i w:val="0"/>
          <w:iCs w:val="0"/>
          <w:color w:val="auto"/>
          <w:sz w:val="24"/>
          <w:szCs w:val="24"/>
          <w:highlight w:val="none"/>
          <w:u w:val="none"/>
        </w:rPr>
        <w:t>7</w:t>
      </w:r>
      <w:r>
        <w:rPr>
          <w:rFonts w:hint="eastAsia" w:ascii="Times New Roman" w:hAnsi="Times New Roman"/>
          <w:bCs/>
          <w:i w:val="0"/>
          <w:iCs w:val="0"/>
          <w:color w:val="auto"/>
          <w:sz w:val="24"/>
          <w:szCs w:val="24"/>
          <w:highlight w:val="none"/>
          <w:u w:val="none"/>
        </w:rPr>
        <w:t>.8 在委托管理期间，中标人不可擅自提出终止合同。确因不可抗力的因素，需征得采购人同意后，方可退出。否则，按合同承担违约责任。</w:t>
      </w:r>
    </w:p>
    <w:p w14:paraId="75DF599D">
      <w:pPr>
        <w:spacing w:line="360" w:lineRule="auto"/>
        <w:ind w:firstLine="482"/>
        <w:rPr>
          <w:rFonts w:ascii="Times New Roman" w:hAnsi="Times New Roman"/>
          <w:bCs/>
          <w:i w:val="0"/>
          <w:iCs w:val="0"/>
          <w:color w:val="auto"/>
          <w:sz w:val="24"/>
          <w:szCs w:val="24"/>
          <w:highlight w:val="none"/>
          <w:u w:val="none"/>
        </w:rPr>
      </w:pPr>
      <w:r>
        <w:rPr>
          <w:rFonts w:ascii="Times New Roman" w:hAnsi="Times New Roman"/>
          <w:bCs/>
          <w:i w:val="0"/>
          <w:iCs w:val="0"/>
          <w:color w:val="auto"/>
          <w:sz w:val="24"/>
          <w:szCs w:val="24"/>
          <w:highlight w:val="none"/>
          <w:u w:val="none"/>
        </w:rPr>
        <w:t>7</w:t>
      </w:r>
      <w:r>
        <w:rPr>
          <w:rFonts w:hint="eastAsia" w:ascii="Times New Roman" w:hAnsi="Times New Roman"/>
          <w:bCs/>
          <w:i w:val="0"/>
          <w:iCs w:val="0"/>
          <w:color w:val="auto"/>
          <w:sz w:val="24"/>
          <w:szCs w:val="24"/>
          <w:highlight w:val="none"/>
          <w:u w:val="none"/>
        </w:rPr>
        <w:t>.9 中标人确保托管期间的房屋、设施设备和器材的完好。托管期满，如中标人不再续管，必须完好归还采购人所提供的房屋及一切设施、设备、资料等，不得损坏、销毁设施设备、器材和资料。恶意损坏、销毁设施设备、器材和资料的，采购人有权要求赔偿和追究法律责任。</w:t>
      </w:r>
    </w:p>
    <w:p w14:paraId="147DC922">
      <w:pPr>
        <w:spacing w:line="360" w:lineRule="auto"/>
        <w:ind w:firstLine="492"/>
        <w:rPr>
          <w:rFonts w:ascii="Times New Roman" w:hAnsi="Times New Roman"/>
          <w:b/>
          <w:i w:val="0"/>
          <w:iCs w:val="0"/>
          <w:color w:val="auto"/>
          <w:sz w:val="24"/>
          <w:szCs w:val="24"/>
          <w:highlight w:val="none"/>
          <w:u w:val="none"/>
        </w:rPr>
      </w:pPr>
      <w:r>
        <w:rPr>
          <w:rFonts w:ascii="Times New Roman" w:hAnsi="Times New Roman"/>
          <w:b/>
          <w:i w:val="0"/>
          <w:iCs w:val="0"/>
          <w:color w:val="auto"/>
          <w:sz w:val="24"/>
          <w:szCs w:val="24"/>
          <w:highlight w:val="none"/>
          <w:u w:val="none"/>
        </w:rPr>
        <w:t>八、付款方式与履约保证金</w:t>
      </w:r>
    </w:p>
    <w:p w14:paraId="3899E2D0">
      <w:pPr>
        <w:spacing w:line="360" w:lineRule="auto"/>
        <w:ind w:firstLine="480" w:firstLineChars="200"/>
        <w:rPr>
          <w:rFonts w:ascii="Times New Roman" w:hAnsi="Times New Roman"/>
          <w:i w:val="0"/>
          <w:iCs w:val="0"/>
          <w:color w:val="auto"/>
          <w:sz w:val="24"/>
          <w:szCs w:val="24"/>
          <w:highlight w:val="none"/>
          <w:u w:val="none"/>
        </w:rPr>
      </w:pPr>
      <w:r>
        <w:rPr>
          <w:rFonts w:ascii="Times New Roman" w:hAnsi="Times New Roman"/>
          <w:i w:val="0"/>
          <w:iCs w:val="0"/>
          <w:color w:val="auto"/>
          <w:sz w:val="24"/>
          <w:szCs w:val="24"/>
          <w:highlight w:val="none"/>
          <w:u w:val="none"/>
        </w:rPr>
        <w:t>1、</w:t>
      </w:r>
      <w:r>
        <w:rPr>
          <w:rFonts w:hint="eastAsia" w:ascii="Times New Roman" w:hAnsi="Times New Roman"/>
          <w:i w:val="0"/>
          <w:iCs w:val="0"/>
          <w:color w:val="auto"/>
          <w:sz w:val="24"/>
          <w:szCs w:val="24"/>
          <w:highlight w:val="none"/>
          <w:u w:val="none"/>
        </w:rPr>
        <w:t>付款方式：</w:t>
      </w:r>
    </w:p>
    <w:p w14:paraId="029F07A7">
      <w:pPr>
        <w:spacing w:line="360" w:lineRule="auto"/>
        <w:ind w:firstLine="480" w:firstLineChars="200"/>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根据季度考核结果，次月15日前支付该季度服务费。</w:t>
      </w:r>
    </w:p>
    <w:p w14:paraId="29F54D16">
      <w:pPr>
        <w:spacing w:line="360" w:lineRule="auto"/>
        <w:ind w:firstLine="480"/>
        <w:jc w:val="left"/>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对满足合同约定支付条件的，采购人自收到发票后30日内将资金支付到合同约定的供应商账户(以发票开具日期计算)。</w:t>
      </w:r>
    </w:p>
    <w:p w14:paraId="429B2068">
      <w:pPr>
        <w:spacing w:line="360" w:lineRule="auto"/>
        <w:ind w:firstLine="480"/>
        <w:rPr>
          <w:rFonts w:ascii="Times New Roman" w:hAnsi="Times New Roman"/>
          <w:i w:val="0"/>
          <w:iCs w:val="0"/>
          <w:color w:val="auto"/>
          <w:sz w:val="24"/>
          <w:szCs w:val="24"/>
          <w:highlight w:val="none"/>
          <w:u w:val="none"/>
        </w:rPr>
      </w:pPr>
      <w:r>
        <w:rPr>
          <w:rFonts w:ascii="Times New Roman" w:hAnsi="Times New Roman"/>
          <w:i w:val="0"/>
          <w:iCs w:val="0"/>
          <w:color w:val="auto"/>
          <w:sz w:val="24"/>
          <w:szCs w:val="24"/>
          <w:highlight w:val="none"/>
          <w:u w:val="none"/>
        </w:rPr>
        <w:t>2、履约保证金</w:t>
      </w:r>
    </w:p>
    <w:p w14:paraId="54371756">
      <w:pPr>
        <w:spacing w:line="360" w:lineRule="auto"/>
        <w:ind w:firstLine="480"/>
        <w:jc w:val="left"/>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（1）本项目履约保证金为合同金额的5%。</w:t>
      </w:r>
    </w:p>
    <w:p w14:paraId="60872B1D">
      <w:pPr>
        <w:spacing w:line="360" w:lineRule="auto"/>
        <w:ind w:firstLine="480"/>
        <w:jc w:val="left"/>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（2）中标人应当以支票、汇票、本票或者金融机构、担保机构出具的保函等非现金形式在合同签订前提交。</w:t>
      </w:r>
    </w:p>
    <w:p w14:paraId="3C8DCE74">
      <w:pPr>
        <w:spacing w:line="360" w:lineRule="auto"/>
        <w:ind w:firstLine="480"/>
        <w:jc w:val="left"/>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（3）履约保证金自合同生效之日起至合同约定的中标人主要义务履行完毕止，采购人按合同约定退还履约保证金（不计利息）。</w:t>
      </w:r>
    </w:p>
    <w:p w14:paraId="27360698">
      <w:pPr>
        <w:spacing w:line="360" w:lineRule="auto"/>
        <w:ind w:firstLine="480"/>
        <w:jc w:val="left"/>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（4）中标人违约的，采购人将按照合同约定扣除其全部或部分履约保证金。如中标人违约给采购人造成的损失超过履约保证金的，应当依法赔偿超过部分的损失。</w:t>
      </w:r>
    </w:p>
    <w:p w14:paraId="5EA7AF83">
      <w:pPr>
        <w:spacing w:line="360" w:lineRule="auto"/>
        <w:ind w:firstLine="482"/>
        <w:rPr>
          <w:rFonts w:ascii="Times New Roman" w:hAnsi="Times New Roman"/>
          <w:b/>
          <w:i w:val="0"/>
          <w:iCs w:val="0"/>
          <w:color w:val="auto"/>
          <w:sz w:val="24"/>
          <w:szCs w:val="24"/>
          <w:highlight w:val="none"/>
          <w:u w:val="none"/>
        </w:rPr>
      </w:pPr>
      <w:r>
        <w:rPr>
          <w:rFonts w:ascii="Times New Roman" w:hAnsi="Times New Roman"/>
          <w:b/>
          <w:i w:val="0"/>
          <w:iCs w:val="0"/>
          <w:color w:val="auto"/>
          <w:sz w:val="24"/>
          <w:szCs w:val="24"/>
          <w:highlight w:val="none"/>
          <w:u w:val="none"/>
        </w:rPr>
        <w:t>九、报价要求</w:t>
      </w:r>
    </w:p>
    <w:p w14:paraId="62051A91">
      <w:pPr>
        <w:spacing w:line="360" w:lineRule="auto"/>
        <w:ind w:firstLine="480"/>
        <w:rPr>
          <w:rFonts w:ascii="Times New Roman" w:hAnsi="Times New Roman"/>
          <w:i w:val="0"/>
          <w:iCs w:val="0"/>
          <w:color w:val="auto"/>
          <w:sz w:val="24"/>
          <w:szCs w:val="24"/>
          <w:highlight w:val="none"/>
          <w:u w:val="none"/>
        </w:rPr>
      </w:pPr>
      <w:r>
        <w:rPr>
          <w:rFonts w:ascii="Times New Roman" w:hAnsi="Times New Roman"/>
          <w:i w:val="0"/>
          <w:iCs w:val="0"/>
          <w:color w:val="auto"/>
          <w:sz w:val="24"/>
          <w:szCs w:val="24"/>
          <w:highlight w:val="none"/>
          <w:u w:val="none"/>
        </w:rPr>
        <w:t>1</w:t>
      </w:r>
      <w:r>
        <w:rPr>
          <w:rFonts w:hint="eastAsia" w:ascii="Times New Roman" w:hAnsi="Times New Roman"/>
          <w:i w:val="0"/>
          <w:iCs w:val="0"/>
          <w:color w:val="auto"/>
          <w:sz w:val="24"/>
          <w:szCs w:val="24"/>
          <w:highlight w:val="none"/>
          <w:u w:val="none"/>
        </w:rPr>
        <w:t>、报价内容应包括但不限于人员工资、加班费、临时突击费用、社会保障缴费、福利、工具、通讯设施、办公设备、巡检器材、保险、物资消耗、服装、胸卡、管理费、利润、税费、政策性文件规定及合同包含的所有风险、责任等。投标人要充分考虑所有工作人员的值休、轮休、法定假日休息以及岗位顶班、日常机动人员的配备，以上所有费用均计入投标总价。</w:t>
      </w:r>
    </w:p>
    <w:p w14:paraId="78D90EAE">
      <w:pPr>
        <w:spacing w:line="360" w:lineRule="auto"/>
        <w:ind w:firstLine="480"/>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2、</w:t>
      </w:r>
      <w:bookmarkStart w:id="25" w:name="OLE_LINK15"/>
      <w:r>
        <w:rPr>
          <w:rFonts w:hint="eastAsia" w:ascii="Times New Roman" w:hAnsi="Times New Roman"/>
          <w:i w:val="0"/>
          <w:iCs w:val="0"/>
          <w:color w:val="auto"/>
          <w:sz w:val="24"/>
          <w:szCs w:val="24"/>
          <w:highlight w:val="none"/>
          <w:u w:val="none"/>
        </w:rPr>
        <w:t>所聘用的保安员基本工资</w:t>
      </w:r>
      <w:r>
        <w:rPr>
          <w:rFonts w:hint="eastAsia"/>
          <w:i w:val="0"/>
          <w:iCs w:val="0"/>
          <w:color w:val="auto"/>
          <w:highlight w:val="none"/>
          <w:u w:val="none"/>
        </w:rPr>
        <w:t>及五险一金</w:t>
      </w:r>
      <w:r>
        <w:rPr>
          <w:rFonts w:hint="eastAsia" w:ascii="Times New Roman" w:hAnsi="Times New Roman"/>
          <w:i w:val="0"/>
          <w:iCs w:val="0"/>
          <w:color w:val="auto"/>
          <w:sz w:val="24"/>
          <w:szCs w:val="24"/>
          <w:highlight w:val="none"/>
          <w:u w:val="none"/>
        </w:rPr>
        <w:t>（不包括福利以及加班工资等）</w:t>
      </w:r>
      <w:bookmarkEnd w:id="25"/>
      <w:r>
        <w:rPr>
          <w:rFonts w:hint="eastAsia" w:ascii="Times New Roman" w:hAnsi="Times New Roman"/>
          <w:i w:val="0"/>
          <w:iCs w:val="0"/>
          <w:color w:val="auto"/>
          <w:sz w:val="24"/>
          <w:szCs w:val="24"/>
          <w:highlight w:val="none"/>
          <w:u w:val="none"/>
        </w:rPr>
        <w:t>不能低于连云港市规定的最低工资标准，不得发生拖欠员工工资等的情况。为本项目所聘用的所有服务人员在校园工作期间发生人身伤害和重大事故等所有相关事宜由保安服务公司全部负责。</w:t>
      </w:r>
    </w:p>
    <w:p w14:paraId="3A151987">
      <w:pPr>
        <w:spacing w:line="360" w:lineRule="auto"/>
        <w:ind w:firstLine="480"/>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3、在合同期（3年）内不得因国家提高最低工资标准、保险金比例等因素而调整合同价格，供应商在投标时综合考虑在内，中标后不予调整。</w:t>
      </w:r>
    </w:p>
    <w:p w14:paraId="568134AC">
      <w:pPr>
        <w:spacing w:line="360" w:lineRule="auto"/>
        <w:ind w:firstLine="480"/>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4、投标人应对所投项目的全部内容进行报价，完成招标文件规定的服务工作所涉及到的一切相关费用。</w:t>
      </w:r>
    </w:p>
    <w:p w14:paraId="35CE8227">
      <w:pPr>
        <w:spacing w:line="360" w:lineRule="auto"/>
        <w:ind w:firstLine="480"/>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5、投标人应采用分项报价最终汇总的方式进行，标明拟提供服务的单价和总价，详细分析各项费用组成（表格参照后面报价表）；</w:t>
      </w:r>
    </w:p>
    <w:p w14:paraId="4E63D993">
      <w:pPr>
        <w:spacing w:line="360" w:lineRule="auto"/>
        <w:ind w:firstLine="480"/>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6、本次投标报价为包干制。</w:t>
      </w:r>
    </w:p>
    <w:p w14:paraId="679EBA36">
      <w:pPr>
        <w:spacing w:line="360" w:lineRule="auto"/>
        <w:ind w:firstLine="482"/>
        <w:rPr>
          <w:rFonts w:ascii="Times New Roman" w:hAnsi="Times New Roman"/>
          <w:b/>
          <w:i w:val="0"/>
          <w:iCs w:val="0"/>
          <w:color w:val="auto"/>
          <w:sz w:val="24"/>
          <w:szCs w:val="24"/>
          <w:highlight w:val="none"/>
          <w:u w:val="none"/>
        </w:rPr>
      </w:pPr>
      <w:r>
        <w:rPr>
          <w:rFonts w:ascii="Times New Roman" w:hAnsi="Times New Roman"/>
          <w:b/>
          <w:i w:val="0"/>
          <w:iCs w:val="0"/>
          <w:color w:val="auto"/>
          <w:sz w:val="24"/>
          <w:szCs w:val="24"/>
          <w:highlight w:val="none"/>
          <w:u w:val="none"/>
        </w:rPr>
        <w:t>十、</w:t>
      </w:r>
      <w:r>
        <w:rPr>
          <w:rFonts w:hint="eastAsia" w:ascii="Times New Roman" w:hAnsi="Times New Roman"/>
          <w:b/>
          <w:i w:val="0"/>
          <w:iCs w:val="0"/>
          <w:color w:val="auto"/>
          <w:sz w:val="24"/>
          <w:szCs w:val="24"/>
          <w:highlight w:val="none"/>
          <w:u w:val="none"/>
        </w:rPr>
        <w:t>江苏海洋大学宋跳校区和通灌校区校园保安服务细则：</w:t>
      </w:r>
    </w:p>
    <w:p w14:paraId="47A424E0">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1、门卫岗位服务细则</w:t>
      </w:r>
    </w:p>
    <w:p w14:paraId="5B80AEA1">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1.1值班人员必须严格按照规定时间上下班，不看书报和手机，不做私事，不与他人在岗位上闲谈嬉笑，不在值班时接待无关人员，严禁脱岗、空岗，要着保安服装，穿戴整齐；</w:t>
      </w:r>
    </w:p>
    <w:p w14:paraId="3D0E7624">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1.2认真贯彻执行江苏海洋大学门卫管理制度以及其他相关规定，熟悉校园各建筑物位置、用途，了解各部门所在位置以及学生宿舍学生的分布状况；</w:t>
      </w:r>
    </w:p>
    <w:p w14:paraId="7677B717">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1.3夜间值勤不准睡觉，要密切注意校门周围的情况，发现问题及时处理和报告。对发生的各种意外事故要及时采取措施，不得退缩不管；</w:t>
      </w:r>
    </w:p>
    <w:p w14:paraId="44FA5165">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1.4值勤时文明待客，态度热情，认真检查出入人员、各种车辆，办理来访人员会客手续和车辆登记、换证、收费等；</w:t>
      </w:r>
    </w:p>
    <w:p w14:paraId="39593206">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1.5认真检验携带公私物品外出的出门证明和证件，检查实物并进行登记；</w:t>
      </w:r>
    </w:p>
    <w:p w14:paraId="0DC4FADE">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1.6进出人员较多时，双人站岗，注意车辆和行人的安全；苍梧路正门实行白班站岗执勤制度；</w:t>
      </w:r>
    </w:p>
    <w:p w14:paraId="50733C36">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1.7爱护公物设施，管理好电动门、门禁系统控制器，禁止非值班人员随意启动；</w:t>
      </w:r>
    </w:p>
    <w:p w14:paraId="41244FE9">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1.8认真填写交接班登记，按时交接班，保持值班室内以及大门周边环境卫生，工作环境整洁有序；</w:t>
      </w:r>
    </w:p>
    <w:p w14:paraId="71326108">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1.9熟悉灭火器械的性能及使用方法，了解消防设施的位置，发现火警及时处理并报告；</w:t>
      </w:r>
    </w:p>
    <w:p w14:paraId="7C2B9633">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1.10服从领导安排，完成领导交办的其他任务。</w:t>
      </w:r>
    </w:p>
    <w:p w14:paraId="08FAD91A">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2、巡逻队服务细则</w:t>
      </w:r>
    </w:p>
    <w:p w14:paraId="7C91EE30">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2.1巡逻人员的主要任务是校园秩序的维护，保障师生员工安全不受侵害，以及校园重点部位的防火防盗巡逻和检查；</w:t>
      </w:r>
    </w:p>
    <w:p w14:paraId="316AC059">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2.2巡逻人员必须按规定时间和路线巡逻，实行24小时全天候、双人双岗巡逻制度，并认真做好巡逻工作记录；</w:t>
      </w:r>
    </w:p>
    <w:p w14:paraId="58F27984">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2.3接受治安监控指挥中心的指挥，及时处理各种警情和求助；</w:t>
      </w:r>
    </w:p>
    <w:p w14:paraId="037608B0">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2.4巡逻人员在值勤时要遵守工作纪律，不擅离职守，不迟到早退。服装统一整齐，步调一致，文明执法，不准打人骂人，不准随意使用警具；</w:t>
      </w:r>
    </w:p>
    <w:p w14:paraId="36D2D2D5">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2.5巡逻人员随时保持高度警惕，要善于盘查可疑人员，注意发现可疑迹象，发现问题及时向带班领导汇报情况；</w:t>
      </w:r>
    </w:p>
    <w:p w14:paraId="0B2F77B6">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2.6巡逻人员对发生案件的部位要注意保护现场，配合保卫处和公安部门查处违法犯罪人员；</w:t>
      </w:r>
    </w:p>
    <w:p w14:paraId="00409AA4">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2.7巡逻人员兼职校内业余消防队，熟悉建筑消防设施格局、熟悉安全出口和疏散通道位置、能够熟练使用安防器材，对发生的各种意外事故和初起火灾要及时采取措施处置;对较大事故和火灾要及时报警，并报告带班领导；</w:t>
      </w:r>
    </w:p>
    <w:p w14:paraId="1A63BF1B">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2.8巡逻人员在工作中必须坚持原则，不得徇私枉法、接受贿赂、私放违法犯罪嫌疑人员；</w:t>
      </w:r>
    </w:p>
    <w:p w14:paraId="42D55AE4">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2.9完成学校重大活动期间的安全保障任务和领导交办的其它任务。</w:t>
      </w:r>
    </w:p>
    <w:p w14:paraId="52BD5995">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w:t>
      </w:r>
      <w:r>
        <w:rPr>
          <w:rFonts w:hint="eastAsia" w:ascii="宋体" w:hAnsi="宋体" w:cs="仿宋_GB2312"/>
          <w:i w:val="0"/>
          <w:iCs w:val="0"/>
          <w:color w:val="auto"/>
          <w:kern w:val="2"/>
          <w:sz w:val="24"/>
          <w:szCs w:val="24"/>
          <w:highlight w:val="none"/>
          <w:u w:val="none"/>
          <w:lang w:val="en-US" w:eastAsia="zh-CN"/>
        </w:rPr>
        <w:t>监控室（监控</w:t>
      </w:r>
      <w:r>
        <w:rPr>
          <w:rFonts w:hint="eastAsia" w:ascii="宋体" w:hAnsi="宋体" w:cs="仿宋_GB2312"/>
          <w:i w:val="0"/>
          <w:iCs w:val="0"/>
          <w:color w:val="auto"/>
          <w:kern w:val="2"/>
          <w:sz w:val="24"/>
          <w:szCs w:val="24"/>
          <w:highlight w:val="none"/>
          <w:u w:val="none"/>
        </w:rPr>
        <w:t>指挥中心</w:t>
      </w:r>
      <w:r>
        <w:rPr>
          <w:rFonts w:hint="eastAsia" w:ascii="宋体" w:hAnsi="宋体" w:cs="仿宋_GB2312"/>
          <w:i w:val="0"/>
          <w:iCs w:val="0"/>
          <w:color w:val="auto"/>
          <w:kern w:val="2"/>
          <w:sz w:val="24"/>
          <w:szCs w:val="24"/>
          <w:highlight w:val="none"/>
          <w:u w:val="none"/>
          <w:lang w:val="en-US" w:eastAsia="zh-CN"/>
        </w:rPr>
        <w:t>）</w:t>
      </w:r>
      <w:r>
        <w:rPr>
          <w:rFonts w:hint="eastAsia" w:ascii="宋体" w:hAnsi="宋体" w:cs="仿宋_GB2312"/>
          <w:i w:val="0"/>
          <w:iCs w:val="0"/>
          <w:color w:val="auto"/>
          <w:kern w:val="2"/>
          <w:sz w:val="24"/>
          <w:szCs w:val="24"/>
          <w:highlight w:val="none"/>
          <w:u w:val="none"/>
        </w:rPr>
        <w:t>工作细则</w:t>
      </w:r>
    </w:p>
    <w:p w14:paraId="29D85095">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3.1接受校内电话及网络报警，指挥巡逻队现场处理，及时侦破处理各类案件；</w:t>
      </w:r>
    </w:p>
    <w:p w14:paraId="4C05D557">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3.2值班人员要尽职尽责，高度警惕，不间断掌握各种监控信息，发现情况及时指挥巡逻队进行处理，必要时报告上级领导；</w:t>
      </w:r>
    </w:p>
    <w:p w14:paraId="78D19C1C">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3.3指挥中心工作人员应熟悉工作设备，能熟练操作监控设施和熟练掌握运用平安校园管理信息系统；</w:t>
      </w:r>
    </w:p>
    <w:p w14:paraId="699CD9F7">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3.4值班人员必须严格按照规定时间上下班，不得离岗、不看书报和手机，不做私事，不与他人在岗位上闲谈嬉笑，不在值班室接待无关人员，严禁脱岗、空岗，要着保安服装，穿戴整齐；</w:t>
      </w:r>
    </w:p>
    <w:p w14:paraId="409481F9">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3.5严禁无关人员进入监控指挥中心，值班人员不得私自将视频资料供他人查阅；确因工作需要的，经领导同意后可以查阅，并做好记录；</w:t>
      </w:r>
    </w:p>
    <w:p w14:paraId="03BEFF5E">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3.6爱护公共财物，保持室内卫生，保持工作环境整洁；严禁报警电话私用，严禁用报警电话聊天，保证报警电话随时接通；</w:t>
      </w:r>
    </w:p>
    <w:p w14:paraId="5C062AFB">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3.7值班时间不得接待外来人员，不做与工作无关的事情；</w:t>
      </w:r>
    </w:p>
    <w:p w14:paraId="4D22F031">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3.8认真填写交接班记录，按时交接班；</w:t>
      </w:r>
    </w:p>
    <w:p w14:paraId="6A1FC2FF">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3.9服从领导安排，完成领导交办的其他任务。</w:t>
      </w:r>
    </w:p>
    <w:p w14:paraId="47AEEB50">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4、消防控制室工作细则</w:t>
      </w:r>
    </w:p>
    <w:p w14:paraId="4CC8D53E">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4.1工作人员必须持证上岗，熟悉和掌握我校消防设施的工作原理、功能和操作规程；</w:t>
      </w:r>
    </w:p>
    <w:p w14:paraId="37969EC5">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4.2对消防控制室设备及通讯器材等进行经常性的检查，定期做好系统功能试验，协助技术人员做好修理、维护工作，不得挪用或擅自拆除、停用消防设施，保证设备正常运行；</w:t>
      </w:r>
    </w:p>
    <w:p w14:paraId="18AED58B">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4.3负责对消防设施进行每日检查，认真记录控制器运行情况，并填写《消防控制室值班记录》；</w:t>
      </w:r>
    </w:p>
    <w:p w14:paraId="5ED7B826">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4.4发现异常情况和设备故障，值班人员应第一时间进行处理，并认真如实的填写《建筑消防设施故障处理记录》；</w:t>
      </w:r>
    </w:p>
    <w:p w14:paraId="1A30DFFD">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4.5熟练掌握《消防控制室管理及应急程序》，火灾情况下能够按照程序开展灭火救援工作；</w:t>
      </w:r>
    </w:p>
    <w:p w14:paraId="5D51E0A7">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4.6值班人员必须严格按照规定时间上下班，不看书报和手机，不做私事，不与他人在岗位上闲谈嬉笑，不在值班时接待无关人员，严禁脱岗、空岗，要着保安服装，穿戴整齐；</w:t>
      </w:r>
    </w:p>
    <w:p w14:paraId="06AAFACC">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4.7维护消防监控中心环境的清洁卫生。严禁报警电话私用或聊天，保证报警电话畅通；</w:t>
      </w:r>
    </w:p>
    <w:p w14:paraId="291E2EA2">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4.8服从领导安排，完成领导交办的其他任务。</w:t>
      </w:r>
    </w:p>
    <w:p w14:paraId="6E9231ED">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i w:val="0"/>
          <w:iCs w:val="0"/>
          <w:color w:val="auto"/>
          <w:sz w:val="24"/>
          <w:szCs w:val="24"/>
          <w:highlight w:val="none"/>
          <w:u w:val="none"/>
        </w:rPr>
        <w:t>5、</w:t>
      </w:r>
      <w:r>
        <w:rPr>
          <w:rFonts w:hint="eastAsia" w:ascii="宋体" w:hAnsi="宋体" w:cs="仿宋_GB2312"/>
          <w:i w:val="0"/>
          <w:iCs w:val="0"/>
          <w:color w:val="auto"/>
          <w:kern w:val="2"/>
          <w:sz w:val="24"/>
          <w:szCs w:val="24"/>
          <w:highlight w:val="none"/>
          <w:u w:val="none"/>
        </w:rPr>
        <w:t>考核标准及考核办法</w:t>
      </w:r>
    </w:p>
    <w:p w14:paraId="799236B2">
      <w:pPr>
        <w:spacing w:line="360" w:lineRule="auto"/>
        <w:ind w:firstLine="420"/>
        <w:rPr>
          <w:rFonts w:ascii="宋体" w:hAnsi="宋体" w:cs="仿宋_GB2312"/>
          <w:i w:val="0"/>
          <w:iCs w:val="0"/>
          <w:color w:val="auto"/>
          <w:kern w:val="2"/>
          <w:sz w:val="24"/>
          <w:szCs w:val="24"/>
          <w:highlight w:val="none"/>
          <w:u w:val="none"/>
        </w:rPr>
      </w:pPr>
      <w:r>
        <w:rPr>
          <w:rFonts w:hint="eastAsia" w:ascii="宋体" w:hAnsi="宋体" w:cs="仿宋_GB2312"/>
          <w:i w:val="0"/>
          <w:iCs w:val="0"/>
          <w:color w:val="auto"/>
          <w:kern w:val="2"/>
          <w:sz w:val="24"/>
          <w:szCs w:val="24"/>
          <w:highlight w:val="none"/>
          <w:u w:val="none"/>
        </w:rPr>
        <w:t>5.1考核标准</w:t>
      </w:r>
    </w:p>
    <w:tbl>
      <w:tblPr>
        <w:tblStyle w:val="8"/>
        <w:tblW w:w="9356"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7"/>
        <w:gridCol w:w="4252"/>
        <w:gridCol w:w="1276"/>
        <w:gridCol w:w="992"/>
        <w:gridCol w:w="738"/>
        <w:gridCol w:w="821"/>
      </w:tblGrid>
      <w:tr w14:paraId="370E7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1277" w:type="dxa"/>
            <w:tcBorders>
              <w:top w:val="single" w:color="auto" w:sz="4" w:space="0"/>
              <w:left w:val="single" w:color="auto" w:sz="4" w:space="0"/>
              <w:bottom w:val="single" w:color="auto" w:sz="4" w:space="0"/>
              <w:right w:val="single" w:color="auto" w:sz="4" w:space="0"/>
            </w:tcBorders>
            <w:vAlign w:val="center"/>
          </w:tcPr>
          <w:p w14:paraId="66884D34">
            <w:pPr>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考核岗位</w:t>
            </w:r>
          </w:p>
        </w:tc>
        <w:tc>
          <w:tcPr>
            <w:tcW w:w="4252" w:type="dxa"/>
            <w:tcBorders>
              <w:top w:val="single" w:color="auto" w:sz="4" w:space="0"/>
              <w:left w:val="single" w:color="auto" w:sz="4" w:space="0"/>
              <w:bottom w:val="single" w:color="auto" w:sz="4" w:space="0"/>
              <w:right w:val="single" w:color="auto" w:sz="4" w:space="0"/>
            </w:tcBorders>
            <w:vAlign w:val="center"/>
          </w:tcPr>
          <w:p w14:paraId="0BFC6896">
            <w:pPr>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检查内容</w:t>
            </w:r>
          </w:p>
        </w:tc>
        <w:tc>
          <w:tcPr>
            <w:tcW w:w="1276" w:type="dxa"/>
            <w:tcBorders>
              <w:top w:val="single" w:color="auto" w:sz="4" w:space="0"/>
              <w:left w:val="single" w:color="auto" w:sz="4" w:space="0"/>
              <w:bottom w:val="single" w:color="auto" w:sz="4" w:space="0"/>
              <w:right w:val="single" w:color="auto" w:sz="4" w:space="0"/>
            </w:tcBorders>
            <w:vAlign w:val="center"/>
          </w:tcPr>
          <w:p w14:paraId="60C65B1F">
            <w:pPr>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检查方式</w:t>
            </w:r>
          </w:p>
        </w:tc>
        <w:tc>
          <w:tcPr>
            <w:tcW w:w="992" w:type="dxa"/>
            <w:tcBorders>
              <w:top w:val="single" w:color="auto" w:sz="4" w:space="0"/>
              <w:left w:val="single" w:color="auto" w:sz="4" w:space="0"/>
              <w:bottom w:val="single" w:color="auto" w:sz="4" w:space="0"/>
              <w:right w:val="single" w:color="auto" w:sz="4" w:space="0"/>
            </w:tcBorders>
            <w:vAlign w:val="center"/>
          </w:tcPr>
          <w:p w14:paraId="79A164CE">
            <w:pPr>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标准分</w:t>
            </w:r>
          </w:p>
        </w:tc>
        <w:tc>
          <w:tcPr>
            <w:tcW w:w="738" w:type="dxa"/>
            <w:tcBorders>
              <w:top w:val="single" w:color="auto" w:sz="4" w:space="0"/>
              <w:left w:val="single" w:color="auto" w:sz="4" w:space="0"/>
              <w:bottom w:val="single" w:color="auto" w:sz="4" w:space="0"/>
              <w:right w:val="single" w:color="auto" w:sz="4" w:space="0"/>
            </w:tcBorders>
            <w:vAlign w:val="center"/>
          </w:tcPr>
          <w:p w14:paraId="171638AF">
            <w:pPr>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得分</w:t>
            </w:r>
          </w:p>
        </w:tc>
        <w:tc>
          <w:tcPr>
            <w:tcW w:w="821" w:type="dxa"/>
            <w:tcBorders>
              <w:top w:val="single" w:color="auto" w:sz="4" w:space="0"/>
              <w:left w:val="single" w:color="auto" w:sz="4" w:space="0"/>
              <w:bottom w:val="single" w:color="auto" w:sz="4" w:space="0"/>
              <w:right w:val="single" w:color="auto" w:sz="4" w:space="0"/>
            </w:tcBorders>
            <w:vAlign w:val="center"/>
          </w:tcPr>
          <w:p w14:paraId="427B74C1">
            <w:pPr>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备注</w:t>
            </w:r>
          </w:p>
        </w:tc>
      </w:tr>
      <w:tr w14:paraId="1A32F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277" w:type="dxa"/>
            <w:vMerge w:val="restart"/>
            <w:tcBorders>
              <w:top w:val="nil"/>
              <w:left w:val="single" w:color="auto" w:sz="4" w:space="0"/>
              <w:bottom w:val="single" w:color="auto" w:sz="4" w:space="0"/>
              <w:right w:val="single" w:color="auto" w:sz="4" w:space="0"/>
            </w:tcBorders>
            <w:vAlign w:val="center"/>
          </w:tcPr>
          <w:p w14:paraId="1CD2B4D6">
            <w:pPr>
              <w:spacing w:line="440" w:lineRule="exact"/>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门</w:t>
            </w:r>
          </w:p>
          <w:p w14:paraId="63B847E2">
            <w:pPr>
              <w:spacing w:line="440" w:lineRule="exact"/>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卫</w:t>
            </w:r>
          </w:p>
          <w:p w14:paraId="3288B599">
            <w:pPr>
              <w:spacing w:line="440" w:lineRule="exact"/>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岗</w:t>
            </w:r>
          </w:p>
          <w:p w14:paraId="77196F6F">
            <w:pPr>
              <w:spacing w:line="440" w:lineRule="exact"/>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位</w:t>
            </w:r>
          </w:p>
          <w:p w14:paraId="103364AA">
            <w:pPr>
              <w:spacing w:line="400" w:lineRule="exact"/>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w:t>
            </w:r>
            <w:r>
              <w:rPr>
                <w:rFonts w:ascii="宋体" w:hAnsi="宋体" w:cs="Calibri"/>
                <w:b/>
                <w:i w:val="0"/>
                <w:iCs w:val="0"/>
                <w:color w:val="auto"/>
                <w:sz w:val="24"/>
                <w:szCs w:val="24"/>
                <w:highlight w:val="none"/>
                <w:u w:val="none"/>
              </w:rPr>
              <w:t>30</w:t>
            </w:r>
            <w:r>
              <w:rPr>
                <w:rFonts w:hint="eastAsia" w:ascii="宋体" w:hAnsi="宋体" w:cs="Calibri"/>
                <w:b/>
                <w:i w:val="0"/>
                <w:iCs w:val="0"/>
                <w:color w:val="auto"/>
                <w:sz w:val="24"/>
                <w:szCs w:val="24"/>
                <w:highlight w:val="none"/>
                <w:u w:val="none"/>
              </w:rPr>
              <w:t>分）</w:t>
            </w:r>
          </w:p>
        </w:tc>
        <w:tc>
          <w:tcPr>
            <w:tcW w:w="4252" w:type="dxa"/>
            <w:tcBorders>
              <w:top w:val="single" w:color="auto" w:sz="4" w:space="0"/>
              <w:left w:val="single" w:color="auto" w:sz="4" w:space="0"/>
              <w:bottom w:val="single" w:color="auto" w:sz="4" w:space="0"/>
              <w:right w:val="single" w:color="auto" w:sz="4" w:space="0"/>
            </w:tcBorders>
          </w:tcPr>
          <w:p w14:paraId="5BC82142">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1、认真贯彻执行《江苏海洋大学门卫管理制度》，熟悉校园单位部门所在区域，各学院学生宿舍的分布和有关规章制度。</w:t>
            </w:r>
          </w:p>
        </w:tc>
        <w:tc>
          <w:tcPr>
            <w:tcW w:w="1276" w:type="dxa"/>
            <w:tcBorders>
              <w:top w:val="single" w:color="auto" w:sz="4" w:space="0"/>
              <w:left w:val="single" w:color="auto" w:sz="4" w:space="0"/>
              <w:bottom w:val="single" w:color="auto" w:sz="4" w:space="0"/>
              <w:right w:val="single" w:color="auto" w:sz="4" w:space="0"/>
            </w:tcBorders>
            <w:vAlign w:val="center"/>
          </w:tcPr>
          <w:p w14:paraId="45F21FEA">
            <w:pPr>
              <w:tabs>
                <w:tab w:val="left" w:pos="465"/>
              </w:tabs>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询问</w:t>
            </w:r>
          </w:p>
        </w:tc>
        <w:tc>
          <w:tcPr>
            <w:tcW w:w="992" w:type="dxa"/>
            <w:tcBorders>
              <w:top w:val="single" w:color="auto" w:sz="4" w:space="0"/>
              <w:left w:val="single" w:color="auto" w:sz="4" w:space="0"/>
              <w:bottom w:val="single" w:color="auto" w:sz="4" w:space="0"/>
              <w:right w:val="single" w:color="auto" w:sz="4" w:space="0"/>
            </w:tcBorders>
            <w:vAlign w:val="center"/>
          </w:tcPr>
          <w:p w14:paraId="4CE8C11E">
            <w:pPr>
              <w:tabs>
                <w:tab w:val="left" w:pos="465"/>
              </w:tabs>
              <w:jc w:val="center"/>
              <w:rPr>
                <w:rFonts w:ascii="宋体" w:hAnsi="宋体" w:cs="Calibri"/>
                <w:i w:val="0"/>
                <w:iCs w:val="0"/>
                <w:color w:val="auto"/>
                <w:sz w:val="24"/>
                <w:szCs w:val="24"/>
                <w:highlight w:val="none"/>
                <w:u w:val="none"/>
              </w:rPr>
            </w:pPr>
            <w:r>
              <w:rPr>
                <w:rFonts w:ascii="宋体" w:hAnsi="宋体" w:cs="Calibri"/>
                <w:i w:val="0"/>
                <w:iCs w:val="0"/>
                <w:color w:val="auto"/>
                <w:sz w:val="24"/>
                <w:szCs w:val="24"/>
                <w:highlight w:val="none"/>
                <w:u w:val="none"/>
              </w:rPr>
              <w:t>3</w:t>
            </w:r>
          </w:p>
        </w:tc>
        <w:tc>
          <w:tcPr>
            <w:tcW w:w="738" w:type="dxa"/>
            <w:tcBorders>
              <w:top w:val="single" w:color="auto" w:sz="4" w:space="0"/>
              <w:left w:val="single" w:color="auto" w:sz="4" w:space="0"/>
              <w:bottom w:val="single" w:color="auto" w:sz="4" w:space="0"/>
              <w:right w:val="single" w:color="auto" w:sz="4" w:space="0"/>
            </w:tcBorders>
          </w:tcPr>
          <w:p w14:paraId="4BE3068F">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3D803834">
            <w:pPr>
              <w:spacing w:line="400" w:lineRule="exact"/>
              <w:rPr>
                <w:rFonts w:ascii="宋体" w:hAnsi="宋体" w:cs="Calibri"/>
                <w:b/>
                <w:i w:val="0"/>
                <w:iCs w:val="0"/>
                <w:color w:val="auto"/>
                <w:sz w:val="24"/>
                <w:szCs w:val="24"/>
                <w:highlight w:val="none"/>
                <w:u w:val="none"/>
              </w:rPr>
            </w:pPr>
          </w:p>
        </w:tc>
      </w:tr>
      <w:tr w14:paraId="10387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277" w:type="dxa"/>
            <w:vMerge w:val="continue"/>
            <w:tcBorders>
              <w:top w:val="nil"/>
              <w:left w:val="single" w:color="auto" w:sz="4" w:space="0"/>
              <w:bottom w:val="single" w:color="auto" w:sz="4" w:space="0"/>
              <w:right w:val="single" w:color="auto" w:sz="4" w:space="0"/>
            </w:tcBorders>
            <w:vAlign w:val="center"/>
          </w:tcPr>
          <w:p w14:paraId="22E92F34">
            <w:pPr>
              <w:widowControl/>
              <w:jc w:val="left"/>
              <w:rPr>
                <w:rFonts w:ascii="宋体" w:hAnsi="宋体" w:cs="Calibri"/>
                <w:b/>
                <w:i w:val="0"/>
                <w:iCs w:val="0"/>
                <w:color w:val="auto"/>
                <w:sz w:val="24"/>
                <w:szCs w:val="24"/>
                <w:highlight w:val="none"/>
                <w:u w:val="none"/>
              </w:rPr>
            </w:pPr>
          </w:p>
        </w:tc>
        <w:tc>
          <w:tcPr>
            <w:tcW w:w="4252" w:type="dxa"/>
            <w:tcBorders>
              <w:top w:val="single" w:color="auto" w:sz="4" w:space="0"/>
              <w:left w:val="single" w:color="auto" w:sz="4" w:space="0"/>
              <w:bottom w:val="single" w:color="auto" w:sz="4" w:space="0"/>
              <w:right w:val="single" w:color="auto" w:sz="4" w:space="0"/>
            </w:tcBorders>
          </w:tcPr>
          <w:p w14:paraId="5A8E9C65">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2、值勤时要保持高度警惕，不擅离岗位，不看书报，不做私事，不与他人在岗位上和值班室内闲谈嬉笑。夜间值勤不睡觉，密切注意校门周边的情况，发现问题及时处理和报告。</w:t>
            </w:r>
          </w:p>
        </w:tc>
        <w:tc>
          <w:tcPr>
            <w:tcW w:w="1276" w:type="dxa"/>
            <w:tcBorders>
              <w:top w:val="single" w:color="auto" w:sz="4" w:space="0"/>
              <w:left w:val="single" w:color="auto" w:sz="4" w:space="0"/>
              <w:bottom w:val="single" w:color="auto" w:sz="4" w:space="0"/>
              <w:right w:val="single" w:color="auto" w:sz="4" w:space="0"/>
            </w:tcBorders>
            <w:vAlign w:val="center"/>
          </w:tcPr>
          <w:p w14:paraId="2E0BD7B0">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现场查看</w:t>
            </w:r>
          </w:p>
        </w:tc>
        <w:tc>
          <w:tcPr>
            <w:tcW w:w="992" w:type="dxa"/>
            <w:tcBorders>
              <w:top w:val="single" w:color="auto" w:sz="4" w:space="0"/>
              <w:left w:val="single" w:color="auto" w:sz="4" w:space="0"/>
              <w:bottom w:val="single" w:color="auto" w:sz="4" w:space="0"/>
              <w:right w:val="single" w:color="auto" w:sz="4" w:space="0"/>
            </w:tcBorders>
            <w:vAlign w:val="center"/>
          </w:tcPr>
          <w:p w14:paraId="61C2805C">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3</w:t>
            </w:r>
          </w:p>
        </w:tc>
        <w:tc>
          <w:tcPr>
            <w:tcW w:w="738" w:type="dxa"/>
            <w:tcBorders>
              <w:top w:val="single" w:color="auto" w:sz="4" w:space="0"/>
              <w:left w:val="single" w:color="auto" w:sz="4" w:space="0"/>
              <w:bottom w:val="single" w:color="auto" w:sz="4" w:space="0"/>
              <w:right w:val="single" w:color="auto" w:sz="4" w:space="0"/>
            </w:tcBorders>
          </w:tcPr>
          <w:p w14:paraId="7E0EB960">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4B2A44B0">
            <w:pPr>
              <w:spacing w:line="400" w:lineRule="exact"/>
              <w:rPr>
                <w:rFonts w:ascii="宋体" w:hAnsi="宋体" w:cs="Calibri"/>
                <w:b/>
                <w:i w:val="0"/>
                <w:iCs w:val="0"/>
                <w:color w:val="auto"/>
                <w:sz w:val="24"/>
                <w:szCs w:val="24"/>
                <w:highlight w:val="none"/>
                <w:u w:val="none"/>
              </w:rPr>
            </w:pPr>
          </w:p>
        </w:tc>
      </w:tr>
      <w:tr w14:paraId="4DF04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277" w:type="dxa"/>
            <w:vMerge w:val="continue"/>
            <w:tcBorders>
              <w:top w:val="nil"/>
              <w:left w:val="single" w:color="auto" w:sz="4" w:space="0"/>
              <w:bottom w:val="single" w:color="auto" w:sz="4" w:space="0"/>
              <w:right w:val="single" w:color="auto" w:sz="4" w:space="0"/>
            </w:tcBorders>
            <w:vAlign w:val="center"/>
          </w:tcPr>
          <w:p w14:paraId="77B9D50A">
            <w:pPr>
              <w:widowControl/>
              <w:jc w:val="left"/>
              <w:rPr>
                <w:rFonts w:ascii="宋体" w:hAnsi="宋体" w:cs="Calibri"/>
                <w:b/>
                <w:i w:val="0"/>
                <w:iCs w:val="0"/>
                <w:color w:val="auto"/>
                <w:sz w:val="24"/>
                <w:szCs w:val="24"/>
                <w:highlight w:val="none"/>
                <w:u w:val="none"/>
              </w:rPr>
            </w:pPr>
          </w:p>
        </w:tc>
        <w:tc>
          <w:tcPr>
            <w:tcW w:w="4252" w:type="dxa"/>
            <w:tcBorders>
              <w:top w:val="single" w:color="auto" w:sz="4" w:space="0"/>
              <w:left w:val="single" w:color="auto" w:sz="4" w:space="0"/>
              <w:bottom w:val="single" w:color="auto" w:sz="4" w:space="0"/>
              <w:right w:val="single" w:color="auto" w:sz="4" w:space="0"/>
            </w:tcBorders>
          </w:tcPr>
          <w:p w14:paraId="486C3B30">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3、值勤时要着装整齐，姿态端正，文明待客，态度热情。认真检查出入人员、车辆，办理来访人员会客手续和车辆登记等。</w:t>
            </w:r>
          </w:p>
        </w:tc>
        <w:tc>
          <w:tcPr>
            <w:tcW w:w="1276" w:type="dxa"/>
            <w:tcBorders>
              <w:top w:val="single" w:color="auto" w:sz="4" w:space="0"/>
              <w:left w:val="single" w:color="auto" w:sz="4" w:space="0"/>
              <w:bottom w:val="single" w:color="auto" w:sz="4" w:space="0"/>
              <w:right w:val="single" w:color="auto" w:sz="4" w:space="0"/>
            </w:tcBorders>
            <w:vAlign w:val="center"/>
          </w:tcPr>
          <w:p w14:paraId="6B544B67">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现场查看</w:t>
            </w:r>
          </w:p>
          <w:p w14:paraId="4D7A9D81">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查台账</w:t>
            </w:r>
          </w:p>
        </w:tc>
        <w:tc>
          <w:tcPr>
            <w:tcW w:w="992" w:type="dxa"/>
            <w:tcBorders>
              <w:top w:val="single" w:color="auto" w:sz="4" w:space="0"/>
              <w:left w:val="single" w:color="auto" w:sz="4" w:space="0"/>
              <w:bottom w:val="single" w:color="auto" w:sz="4" w:space="0"/>
              <w:right w:val="single" w:color="auto" w:sz="4" w:space="0"/>
            </w:tcBorders>
            <w:vAlign w:val="center"/>
          </w:tcPr>
          <w:p w14:paraId="47AD28A2">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3</w:t>
            </w:r>
          </w:p>
        </w:tc>
        <w:tc>
          <w:tcPr>
            <w:tcW w:w="738" w:type="dxa"/>
            <w:tcBorders>
              <w:top w:val="single" w:color="auto" w:sz="4" w:space="0"/>
              <w:left w:val="single" w:color="auto" w:sz="4" w:space="0"/>
              <w:bottom w:val="single" w:color="auto" w:sz="4" w:space="0"/>
              <w:right w:val="single" w:color="auto" w:sz="4" w:space="0"/>
            </w:tcBorders>
          </w:tcPr>
          <w:p w14:paraId="4757919F">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5DE0BA12">
            <w:pPr>
              <w:spacing w:line="400" w:lineRule="exact"/>
              <w:rPr>
                <w:rFonts w:ascii="宋体" w:hAnsi="宋体" w:cs="Calibri"/>
                <w:b/>
                <w:i w:val="0"/>
                <w:iCs w:val="0"/>
                <w:color w:val="auto"/>
                <w:sz w:val="24"/>
                <w:szCs w:val="24"/>
                <w:highlight w:val="none"/>
                <w:u w:val="none"/>
              </w:rPr>
            </w:pPr>
          </w:p>
        </w:tc>
      </w:tr>
      <w:tr w14:paraId="2A8C1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277" w:type="dxa"/>
            <w:vMerge w:val="continue"/>
            <w:tcBorders>
              <w:top w:val="nil"/>
              <w:left w:val="single" w:color="auto" w:sz="4" w:space="0"/>
              <w:bottom w:val="single" w:color="auto" w:sz="4" w:space="0"/>
              <w:right w:val="single" w:color="auto" w:sz="4" w:space="0"/>
            </w:tcBorders>
            <w:vAlign w:val="center"/>
          </w:tcPr>
          <w:p w14:paraId="459944E3">
            <w:pPr>
              <w:widowControl/>
              <w:jc w:val="left"/>
              <w:rPr>
                <w:rFonts w:ascii="宋体" w:hAnsi="宋体" w:cs="Calibri"/>
                <w:b/>
                <w:i w:val="0"/>
                <w:iCs w:val="0"/>
                <w:color w:val="auto"/>
                <w:sz w:val="24"/>
                <w:szCs w:val="24"/>
                <w:highlight w:val="none"/>
                <w:u w:val="none"/>
              </w:rPr>
            </w:pPr>
          </w:p>
        </w:tc>
        <w:tc>
          <w:tcPr>
            <w:tcW w:w="4252" w:type="dxa"/>
            <w:tcBorders>
              <w:top w:val="single" w:color="auto" w:sz="4" w:space="0"/>
              <w:left w:val="single" w:color="auto" w:sz="4" w:space="0"/>
              <w:bottom w:val="single" w:color="auto" w:sz="4" w:space="0"/>
              <w:right w:val="single" w:color="auto" w:sz="4" w:space="0"/>
            </w:tcBorders>
          </w:tcPr>
          <w:p w14:paraId="5CA0AD48">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4、认真检验携带公私物品外出的出门证明和证件，检查实物并进行登记。</w:t>
            </w:r>
          </w:p>
        </w:tc>
        <w:tc>
          <w:tcPr>
            <w:tcW w:w="1276" w:type="dxa"/>
            <w:tcBorders>
              <w:top w:val="single" w:color="auto" w:sz="4" w:space="0"/>
              <w:left w:val="single" w:color="auto" w:sz="4" w:space="0"/>
              <w:bottom w:val="single" w:color="auto" w:sz="4" w:space="0"/>
              <w:right w:val="single" w:color="auto" w:sz="4" w:space="0"/>
            </w:tcBorders>
            <w:vAlign w:val="center"/>
          </w:tcPr>
          <w:p w14:paraId="6C604FF9">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查台账</w:t>
            </w:r>
          </w:p>
        </w:tc>
        <w:tc>
          <w:tcPr>
            <w:tcW w:w="992" w:type="dxa"/>
            <w:tcBorders>
              <w:top w:val="single" w:color="auto" w:sz="4" w:space="0"/>
              <w:left w:val="single" w:color="auto" w:sz="4" w:space="0"/>
              <w:bottom w:val="single" w:color="auto" w:sz="4" w:space="0"/>
              <w:right w:val="single" w:color="auto" w:sz="4" w:space="0"/>
            </w:tcBorders>
            <w:vAlign w:val="center"/>
          </w:tcPr>
          <w:p w14:paraId="2D05D123">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3</w:t>
            </w:r>
          </w:p>
        </w:tc>
        <w:tc>
          <w:tcPr>
            <w:tcW w:w="738" w:type="dxa"/>
            <w:tcBorders>
              <w:top w:val="single" w:color="auto" w:sz="4" w:space="0"/>
              <w:left w:val="single" w:color="auto" w:sz="4" w:space="0"/>
              <w:bottom w:val="single" w:color="auto" w:sz="4" w:space="0"/>
              <w:right w:val="single" w:color="auto" w:sz="4" w:space="0"/>
            </w:tcBorders>
          </w:tcPr>
          <w:p w14:paraId="1CF81E73">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1C62489B">
            <w:pPr>
              <w:spacing w:line="400" w:lineRule="exact"/>
              <w:rPr>
                <w:rFonts w:ascii="宋体" w:hAnsi="宋体" w:cs="Calibri"/>
                <w:b/>
                <w:i w:val="0"/>
                <w:iCs w:val="0"/>
                <w:color w:val="auto"/>
                <w:sz w:val="24"/>
                <w:szCs w:val="24"/>
                <w:highlight w:val="none"/>
                <w:u w:val="none"/>
              </w:rPr>
            </w:pPr>
          </w:p>
        </w:tc>
      </w:tr>
      <w:tr w14:paraId="3974D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277" w:type="dxa"/>
            <w:vMerge w:val="continue"/>
            <w:tcBorders>
              <w:top w:val="nil"/>
              <w:left w:val="single" w:color="auto" w:sz="4" w:space="0"/>
              <w:bottom w:val="single" w:color="auto" w:sz="4" w:space="0"/>
              <w:right w:val="single" w:color="auto" w:sz="4" w:space="0"/>
            </w:tcBorders>
            <w:vAlign w:val="center"/>
          </w:tcPr>
          <w:p w14:paraId="54433A24">
            <w:pPr>
              <w:widowControl/>
              <w:jc w:val="left"/>
              <w:rPr>
                <w:rFonts w:ascii="宋体" w:hAnsi="宋体" w:cs="Calibri"/>
                <w:b/>
                <w:i w:val="0"/>
                <w:iCs w:val="0"/>
                <w:color w:val="auto"/>
                <w:sz w:val="24"/>
                <w:szCs w:val="24"/>
                <w:highlight w:val="none"/>
                <w:u w:val="none"/>
              </w:rPr>
            </w:pPr>
          </w:p>
        </w:tc>
        <w:tc>
          <w:tcPr>
            <w:tcW w:w="4252" w:type="dxa"/>
            <w:tcBorders>
              <w:top w:val="single" w:color="auto" w:sz="4" w:space="0"/>
              <w:left w:val="single" w:color="auto" w:sz="4" w:space="0"/>
              <w:bottom w:val="single" w:color="auto" w:sz="4" w:space="0"/>
              <w:right w:val="single" w:color="auto" w:sz="4" w:space="0"/>
            </w:tcBorders>
          </w:tcPr>
          <w:p w14:paraId="14DAD94F">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5、上下班时间，进出人员较多时，双人站岗，注意车辆和行人安全。</w:t>
            </w:r>
          </w:p>
        </w:tc>
        <w:tc>
          <w:tcPr>
            <w:tcW w:w="1276" w:type="dxa"/>
            <w:tcBorders>
              <w:top w:val="single" w:color="auto" w:sz="4" w:space="0"/>
              <w:left w:val="single" w:color="auto" w:sz="4" w:space="0"/>
              <w:bottom w:val="single" w:color="auto" w:sz="4" w:space="0"/>
              <w:right w:val="single" w:color="auto" w:sz="4" w:space="0"/>
            </w:tcBorders>
            <w:vAlign w:val="center"/>
          </w:tcPr>
          <w:p w14:paraId="089DFE68">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现场查看</w:t>
            </w:r>
          </w:p>
        </w:tc>
        <w:tc>
          <w:tcPr>
            <w:tcW w:w="992" w:type="dxa"/>
            <w:tcBorders>
              <w:top w:val="single" w:color="auto" w:sz="4" w:space="0"/>
              <w:left w:val="single" w:color="auto" w:sz="4" w:space="0"/>
              <w:bottom w:val="single" w:color="auto" w:sz="4" w:space="0"/>
              <w:right w:val="single" w:color="auto" w:sz="4" w:space="0"/>
            </w:tcBorders>
            <w:vAlign w:val="center"/>
          </w:tcPr>
          <w:p w14:paraId="4B9874A9">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3</w:t>
            </w:r>
          </w:p>
        </w:tc>
        <w:tc>
          <w:tcPr>
            <w:tcW w:w="738" w:type="dxa"/>
            <w:tcBorders>
              <w:top w:val="single" w:color="auto" w:sz="4" w:space="0"/>
              <w:left w:val="single" w:color="auto" w:sz="4" w:space="0"/>
              <w:bottom w:val="single" w:color="auto" w:sz="4" w:space="0"/>
              <w:right w:val="single" w:color="auto" w:sz="4" w:space="0"/>
            </w:tcBorders>
          </w:tcPr>
          <w:p w14:paraId="2295B0E8">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111DE832">
            <w:pPr>
              <w:spacing w:line="400" w:lineRule="exact"/>
              <w:rPr>
                <w:rFonts w:ascii="宋体" w:hAnsi="宋体" w:cs="Calibri"/>
                <w:b/>
                <w:i w:val="0"/>
                <w:iCs w:val="0"/>
                <w:color w:val="auto"/>
                <w:sz w:val="24"/>
                <w:szCs w:val="24"/>
                <w:highlight w:val="none"/>
                <w:u w:val="none"/>
              </w:rPr>
            </w:pPr>
          </w:p>
        </w:tc>
      </w:tr>
      <w:tr w14:paraId="103B9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277" w:type="dxa"/>
            <w:vMerge w:val="continue"/>
            <w:tcBorders>
              <w:top w:val="nil"/>
              <w:left w:val="single" w:color="auto" w:sz="4" w:space="0"/>
              <w:bottom w:val="single" w:color="auto" w:sz="4" w:space="0"/>
              <w:right w:val="single" w:color="auto" w:sz="4" w:space="0"/>
            </w:tcBorders>
            <w:vAlign w:val="center"/>
          </w:tcPr>
          <w:p w14:paraId="20AFDF7B">
            <w:pPr>
              <w:widowControl/>
              <w:jc w:val="left"/>
              <w:rPr>
                <w:rFonts w:ascii="宋体" w:hAnsi="宋体" w:cs="Calibri"/>
                <w:b/>
                <w:i w:val="0"/>
                <w:iCs w:val="0"/>
                <w:color w:val="auto"/>
                <w:sz w:val="24"/>
                <w:szCs w:val="24"/>
                <w:highlight w:val="none"/>
                <w:u w:val="none"/>
              </w:rPr>
            </w:pPr>
          </w:p>
        </w:tc>
        <w:tc>
          <w:tcPr>
            <w:tcW w:w="4252" w:type="dxa"/>
            <w:tcBorders>
              <w:top w:val="single" w:color="auto" w:sz="4" w:space="0"/>
              <w:left w:val="single" w:color="auto" w:sz="4" w:space="0"/>
              <w:bottom w:val="single" w:color="auto" w:sz="4" w:space="0"/>
              <w:right w:val="single" w:color="auto" w:sz="4" w:space="0"/>
            </w:tcBorders>
          </w:tcPr>
          <w:p w14:paraId="72485481">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6、爱护公物设施，管理好电动门控制器，禁止非值班人员随意启动开关大门。</w:t>
            </w:r>
          </w:p>
        </w:tc>
        <w:tc>
          <w:tcPr>
            <w:tcW w:w="1276" w:type="dxa"/>
            <w:tcBorders>
              <w:top w:val="single" w:color="auto" w:sz="4" w:space="0"/>
              <w:left w:val="single" w:color="auto" w:sz="4" w:space="0"/>
              <w:bottom w:val="single" w:color="auto" w:sz="4" w:space="0"/>
              <w:right w:val="single" w:color="auto" w:sz="4" w:space="0"/>
            </w:tcBorders>
            <w:vAlign w:val="center"/>
          </w:tcPr>
          <w:p w14:paraId="6F1F64E5">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现场查看</w:t>
            </w:r>
          </w:p>
        </w:tc>
        <w:tc>
          <w:tcPr>
            <w:tcW w:w="992" w:type="dxa"/>
            <w:tcBorders>
              <w:top w:val="single" w:color="auto" w:sz="4" w:space="0"/>
              <w:left w:val="single" w:color="auto" w:sz="4" w:space="0"/>
              <w:bottom w:val="single" w:color="auto" w:sz="4" w:space="0"/>
              <w:right w:val="single" w:color="auto" w:sz="4" w:space="0"/>
            </w:tcBorders>
            <w:vAlign w:val="center"/>
          </w:tcPr>
          <w:p w14:paraId="6ED3A9AD">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3</w:t>
            </w:r>
          </w:p>
        </w:tc>
        <w:tc>
          <w:tcPr>
            <w:tcW w:w="738" w:type="dxa"/>
            <w:tcBorders>
              <w:top w:val="single" w:color="auto" w:sz="4" w:space="0"/>
              <w:left w:val="single" w:color="auto" w:sz="4" w:space="0"/>
              <w:bottom w:val="single" w:color="auto" w:sz="4" w:space="0"/>
              <w:right w:val="single" w:color="auto" w:sz="4" w:space="0"/>
            </w:tcBorders>
          </w:tcPr>
          <w:p w14:paraId="377FBD02">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4A0A694F">
            <w:pPr>
              <w:spacing w:line="400" w:lineRule="exact"/>
              <w:rPr>
                <w:rFonts w:ascii="宋体" w:hAnsi="宋体" w:cs="Calibri"/>
                <w:b/>
                <w:i w:val="0"/>
                <w:iCs w:val="0"/>
                <w:color w:val="auto"/>
                <w:sz w:val="24"/>
                <w:szCs w:val="24"/>
                <w:highlight w:val="none"/>
                <w:u w:val="none"/>
              </w:rPr>
            </w:pPr>
          </w:p>
        </w:tc>
      </w:tr>
      <w:tr w14:paraId="1B4C5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277" w:type="dxa"/>
            <w:vMerge w:val="continue"/>
            <w:tcBorders>
              <w:top w:val="nil"/>
              <w:left w:val="single" w:color="auto" w:sz="4" w:space="0"/>
              <w:bottom w:val="single" w:color="auto" w:sz="4" w:space="0"/>
              <w:right w:val="single" w:color="auto" w:sz="4" w:space="0"/>
            </w:tcBorders>
            <w:vAlign w:val="center"/>
          </w:tcPr>
          <w:p w14:paraId="49EFCA3F">
            <w:pPr>
              <w:widowControl/>
              <w:jc w:val="left"/>
              <w:rPr>
                <w:rFonts w:ascii="宋体" w:hAnsi="宋体" w:cs="Calibri"/>
                <w:b/>
                <w:i w:val="0"/>
                <w:iCs w:val="0"/>
                <w:color w:val="auto"/>
                <w:sz w:val="24"/>
                <w:szCs w:val="24"/>
                <w:highlight w:val="none"/>
                <w:u w:val="none"/>
              </w:rPr>
            </w:pPr>
          </w:p>
        </w:tc>
        <w:tc>
          <w:tcPr>
            <w:tcW w:w="4252" w:type="dxa"/>
            <w:tcBorders>
              <w:top w:val="single" w:color="auto" w:sz="4" w:space="0"/>
              <w:left w:val="single" w:color="auto" w:sz="4" w:space="0"/>
              <w:bottom w:val="single" w:color="auto" w:sz="4" w:space="0"/>
              <w:right w:val="single" w:color="auto" w:sz="4" w:space="0"/>
            </w:tcBorders>
          </w:tcPr>
          <w:p w14:paraId="249DAD89">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7、认真填写交接班登记，按时交接班，清扫值班室内外卫生，保持工作环境整洁，保管好公共设施及物品。</w:t>
            </w:r>
          </w:p>
        </w:tc>
        <w:tc>
          <w:tcPr>
            <w:tcW w:w="1276" w:type="dxa"/>
            <w:tcBorders>
              <w:top w:val="single" w:color="auto" w:sz="4" w:space="0"/>
              <w:left w:val="single" w:color="auto" w:sz="4" w:space="0"/>
              <w:bottom w:val="single" w:color="auto" w:sz="4" w:space="0"/>
              <w:right w:val="single" w:color="auto" w:sz="4" w:space="0"/>
            </w:tcBorders>
            <w:vAlign w:val="center"/>
          </w:tcPr>
          <w:p w14:paraId="610EAA06">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查台账</w:t>
            </w:r>
          </w:p>
          <w:p w14:paraId="5DAE392A">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现场查看</w:t>
            </w:r>
          </w:p>
        </w:tc>
        <w:tc>
          <w:tcPr>
            <w:tcW w:w="992" w:type="dxa"/>
            <w:tcBorders>
              <w:top w:val="single" w:color="auto" w:sz="4" w:space="0"/>
              <w:left w:val="single" w:color="auto" w:sz="4" w:space="0"/>
              <w:bottom w:val="single" w:color="auto" w:sz="4" w:space="0"/>
              <w:right w:val="single" w:color="auto" w:sz="4" w:space="0"/>
            </w:tcBorders>
            <w:vAlign w:val="center"/>
          </w:tcPr>
          <w:p w14:paraId="25B13EE5">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3</w:t>
            </w:r>
          </w:p>
        </w:tc>
        <w:tc>
          <w:tcPr>
            <w:tcW w:w="738" w:type="dxa"/>
            <w:tcBorders>
              <w:top w:val="single" w:color="auto" w:sz="4" w:space="0"/>
              <w:left w:val="single" w:color="auto" w:sz="4" w:space="0"/>
              <w:bottom w:val="single" w:color="auto" w:sz="4" w:space="0"/>
              <w:right w:val="single" w:color="auto" w:sz="4" w:space="0"/>
            </w:tcBorders>
          </w:tcPr>
          <w:p w14:paraId="63391F7C">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4CC2604C">
            <w:pPr>
              <w:spacing w:line="400" w:lineRule="exact"/>
              <w:rPr>
                <w:rFonts w:ascii="宋体" w:hAnsi="宋体" w:cs="Calibri"/>
                <w:b/>
                <w:i w:val="0"/>
                <w:iCs w:val="0"/>
                <w:color w:val="auto"/>
                <w:sz w:val="24"/>
                <w:szCs w:val="24"/>
                <w:highlight w:val="none"/>
                <w:u w:val="none"/>
              </w:rPr>
            </w:pPr>
          </w:p>
        </w:tc>
      </w:tr>
      <w:tr w14:paraId="7F4E3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277" w:type="dxa"/>
            <w:vMerge w:val="continue"/>
            <w:tcBorders>
              <w:top w:val="nil"/>
              <w:left w:val="single" w:color="auto" w:sz="4" w:space="0"/>
              <w:bottom w:val="single" w:color="auto" w:sz="4" w:space="0"/>
              <w:right w:val="single" w:color="auto" w:sz="4" w:space="0"/>
            </w:tcBorders>
            <w:vAlign w:val="center"/>
          </w:tcPr>
          <w:p w14:paraId="73D69B77">
            <w:pPr>
              <w:widowControl/>
              <w:jc w:val="left"/>
              <w:rPr>
                <w:rFonts w:ascii="宋体" w:hAnsi="宋体" w:cs="Calibri"/>
                <w:b/>
                <w:i w:val="0"/>
                <w:iCs w:val="0"/>
                <w:color w:val="auto"/>
                <w:sz w:val="24"/>
                <w:szCs w:val="24"/>
                <w:highlight w:val="none"/>
                <w:u w:val="none"/>
              </w:rPr>
            </w:pPr>
          </w:p>
        </w:tc>
        <w:tc>
          <w:tcPr>
            <w:tcW w:w="4252" w:type="dxa"/>
            <w:tcBorders>
              <w:top w:val="single" w:color="auto" w:sz="4" w:space="0"/>
              <w:left w:val="single" w:color="auto" w:sz="4" w:space="0"/>
              <w:bottom w:val="single" w:color="auto" w:sz="4" w:space="0"/>
              <w:right w:val="single" w:color="auto" w:sz="4" w:space="0"/>
            </w:tcBorders>
          </w:tcPr>
          <w:p w14:paraId="316244AE">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8、熟悉车辆管理系统使用与日常维护，有不能解决的问题及时报告管理人员处理。</w:t>
            </w:r>
          </w:p>
        </w:tc>
        <w:tc>
          <w:tcPr>
            <w:tcW w:w="1276" w:type="dxa"/>
            <w:tcBorders>
              <w:top w:val="single" w:color="auto" w:sz="4" w:space="0"/>
              <w:left w:val="single" w:color="auto" w:sz="4" w:space="0"/>
              <w:bottom w:val="single" w:color="auto" w:sz="4" w:space="0"/>
              <w:right w:val="single" w:color="auto" w:sz="4" w:space="0"/>
            </w:tcBorders>
            <w:vAlign w:val="center"/>
          </w:tcPr>
          <w:p w14:paraId="0E40D2BA">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现场查看</w:t>
            </w:r>
          </w:p>
        </w:tc>
        <w:tc>
          <w:tcPr>
            <w:tcW w:w="992" w:type="dxa"/>
            <w:tcBorders>
              <w:top w:val="single" w:color="auto" w:sz="4" w:space="0"/>
              <w:left w:val="single" w:color="auto" w:sz="4" w:space="0"/>
              <w:bottom w:val="single" w:color="auto" w:sz="4" w:space="0"/>
              <w:right w:val="single" w:color="auto" w:sz="4" w:space="0"/>
            </w:tcBorders>
            <w:vAlign w:val="center"/>
          </w:tcPr>
          <w:p w14:paraId="76052E67">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3</w:t>
            </w:r>
          </w:p>
        </w:tc>
        <w:tc>
          <w:tcPr>
            <w:tcW w:w="738" w:type="dxa"/>
            <w:tcBorders>
              <w:top w:val="single" w:color="auto" w:sz="4" w:space="0"/>
              <w:left w:val="single" w:color="auto" w:sz="4" w:space="0"/>
              <w:bottom w:val="single" w:color="auto" w:sz="4" w:space="0"/>
              <w:right w:val="single" w:color="auto" w:sz="4" w:space="0"/>
            </w:tcBorders>
          </w:tcPr>
          <w:p w14:paraId="45C4D320">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36BA067E">
            <w:pPr>
              <w:spacing w:line="400" w:lineRule="exact"/>
              <w:rPr>
                <w:rFonts w:ascii="宋体" w:hAnsi="宋体" w:cs="Calibri"/>
                <w:b/>
                <w:i w:val="0"/>
                <w:iCs w:val="0"/>
                <w:color w:val="auto"/>
                <w:sz w:val="24"/>
                <w:szCs w:val="24"/>
                <w:highlight w:val="none"/>
                <w:u w:val="none"/>
              </w:rPr>
            </w:pPr>
          </w:p>
        </w:tc>
      </w:tr>
      <w:tr w14:paraId="2BA2E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277" w:type="dxa"/>
            <w:vMerge w:val="continue"/>
            <w:tcBorders>
              <w:top w:val="nil"/>
              <w:left w:val="single" w:color="auto" w:sz="4" w:space="0"/>
              <w:bottom w:val="single" w:color="auto" w:sz="4" w:space="0"/>
              <w:right w:val="single" w:color="auto" w:sz="4" w:space="0"/>
            </w:tcBorders>
            <w:vAlign w:val="center"/>
          </w:tcPr>
          <w:p w14:paraId="3DB8A34E">
            <w:pPr>
              <w:widowControl/>
              <w:jc w:val="left"/>
              <w:rPr>
                <w:rFonts w:ascii="宋体" w:hAnsi="宋体" w:cs="Calibri"/>
                <w:b/>
                <w:i w:val="0"/>
                <w:iCs w:val="0"/>
                <w:color w:val="auto"/>
                <w:sz w:val="24"/>
                <w:szCs w:val="24"/>
                <w:highlight w:val="none"/>
                <w:u w:val="none"/>
              </w:rPr>
            </w:pPr>
          </w:p>
        </w:tc>
        <w:tc>
          <w:tcPr>
            <w:tcW w:w="4252" w:type="dxa"/>
            <w:tcBorders>
              <w:top w:val="single" w:color="auto" w:sz="4" w:space="0"/>
              <w:left w:val="single" w:color="auto" w:sz="4" w:space="0"/>
              <w:bottom w:val="single" w:color="auto" w:sz="4" w:space="0"/>
              <w:right w:val="single" w:color="auto" w:sz="4" w:space="0"/>
            </w:tcBorders>
          </w:tcPr>
          <w:p w14:paraId="1ED7B31C">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9、熟悉各种灭火器的性能及使用方法，了解岗位附近消防设施部位。</w:t>
            </w:r>
          </w:p>
        </w:tc>
        <w:tc>
          <w:tcPr>
            <w:tcW w:w="1276" w:type="dxa"/>
            <w:tcBorders>
              <w:top w:val="single" w:color="auto" w:sz="4" w:space="0"/>
              <w:left w:val="single" w:color="auto" w:sz="4" w:space="0"/>
              <w:bottom w:val="single" w:color="auto" w:sz="4" w:space="0"/>
              <w:right w:val="single" w:color="auto" w:sz="4" w:space="0"/>
            </w:tcBorders>
            <w:vAlign w:val="center"/>
          </w:tcPr>
          <w:p w14:paraId="1BF161B7">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询问</w:t>
            </w:r>
          </w:p>
        </w:tc>
        <w:tc>
          <w:tcPr>
            <w:tcW w:w="992" w:type="dxa"/>
            <w:tcBorders>
              <w:top w:val="single" w:color="auto" w:sz="4" w:space="0"/>
              <w:left w:val="single" w:color="auto" w:sz="4" w:space="0"/>
              <w:bottom w:val="single" w:color="auto" w:sz="4" w:space="0"/>
              <w:right w:val="single" w:color="auto" w:sz="4" w:space="0"/>
            </w:tcBorders>
            <w:vAlign w:val="center"/>
          </w:tcPr>
          <w:p w14:paraId="0F08B279">
            <w:pPr>
              <w:jc w:val="center"/>
              <w:rPr>
                <w:rFonts w:ascii="宋体" w:hAnsi="宋体" w:cs="Calibri"/>
                <w:i w:val="0"/>
                <w:iCs w:val="0"/>
                <w:color w:val="auto"/>
                <w:sz w:val="24"/>
                <w:szCs w:val="24"/>
                <w:highlight w:val="none"/>
                <w:u w:val="none"/>
              </w:rPr>
            </w:pPr>
            <w:r>
              <w:rPr>
                <w:rFonts w:ascii="宋体" w:hAnsi="宋体" w:cs="Calibri"/>
                <w:i w:val="0"/>
                <w:iCs w:val="0"/>
                <w:color w:val="auto"/>
                <w:sz w:val="24"/>
                <w:szCs w:val="24"/>
                <w:highlight w:val="none"/>
                <w:u w:val="none"/>
              </w:rPr>
              <w:t>3</w:t>
            </w:r>
          </w:p>
        </w:tc>
        <w:tc>
          <w:tcPr>
            <w:tcW w:w="738" w:type="dxa"/>
            <w:tcBorders>
              <w:top w:val="single" w:color="auto" w:sz="4" w:space="0"/>
              <w:left w:val="single" w:color="auto" w:sz="4" w:space="0"/>
              <w:bottom w:val="single" w:color="auto" w:sz="4" w:space="0"/>
              <w:right w:val="single" w:color="auto" w:sz="4" w:space="0"/>
            </w:tcBorders>
          </w:tcPr>
          <w:p w14:paraId="2CC772CD">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48D4B55F">
            <w:pPr>
              <w:spacing w:line="400" w:lineRule="exact"/>
              <w:rPr>
                <w:rFonts w:ascii="宋体" w:hAnsi="宋体" w:cs="Calibri"/>
                <w:b/>
                <w:i w:val="0"/>
                <w:iCs w:val="0"/>
                <w:color w:val="auto"/>
                <w:sz w:val="24"/>
                <w:szCs w:val="24"/>
                <w:highlight w:val="none"/>
                <w:u w:val="none"/>
              </w:rPr>
            </w:pPr>
          </w:p>
        </w:tc>
      </w:tr>
      <w:tr w14:paraId="15A04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277" w:type="dxa"/>
            <w:vMerge w:val="continue"/>
            <w:tcBorders>
              <w:top w:val="nil"/>
              <w:left w:val="single" w:color="auto" w:sz="4" w:space="0"/>
              <w:bottom w:val="single" w:color="auto" w:sz="4" w:space="0"/>
              <w:right w:val="single" w:color="auto" w:sz="4" w:space="0"/>
            </w:tcBorders>
            <w:vAlign w:val="center"/>
          </w:tcPr>
          <w:p w14:paraId="3CD55726">
            <w:pPr>
              <w:widowControl/>
              <w:jc w:val="left"/>
              <w:rPr>
                <w:rFonts w:ascii="宋体" w:hAnsi="宋体" w:cs="Calibri"/>
                <w:b/>
                <w:i w:val="0"/>
                <w:iCs w:val="0"/>
                <w:color w:val="auto"/>
                <w:sz w:val="24"/>
                <w:szCs w:val="24"/>
                <w:highlight w:val="none"/>
                <w:u w:val="none"/>
              </w:rPr>
            </w:pPr>
          </w:p>
        </w:tc>
        <w:tc>
          <w:tcPr>
            <w:tcW w:w="4252" w:type="dxa"/>
            <w:tcBorders>
              <w:top w:val="single" w:color="auto" w:sz="4" w:space="0"/>
              <w:left w:val="single" w:color="auto" w:sz="4" w:space="0"/>
              <w:bottom w:val="single" w:color="auto" w:sz="4" w:space="0"/>
              <w:right w:val="single" w:color="auto" w:sz="4" w:space="0"/>
            </w:tcBorders>
          </w:tcPr>
          <w:p w14:paraId="3BBBF13D">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10、完成校区接报警处置、记录，发现问题及时处理和报告；完成校区保卫科交办的其他任务。</w:t>
            </w:r>
          </w:p>
        </w:tc>
        <w:tc>
          <w:tcPr>
            <w:tcW w:w="1276" w:type="dxa"/>
            <w:tcBorders>
              <w:top w:val="single" w:color="auto" w:sz="4" w:space="0"/>
              <w:left w:val="single" w:color="auto" w:sz="4" w:space="0"/>
              <w:bottom w:val="single" w:color="auto" w:sz="4" w:space="0"/>
              <w:right w:val="single" w:color="auto" w:sz="4" w:space="0"/>
            </w:tcBorders>
            <w:vAlign w:val="center"/>
          </w:tcPr>
          <w:p w14:paraId="4B637942">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查台账</w:t>
            </w:r>
          </w:p>
          <w:p w14:paraId="35838102">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现场查看</w:t>
            </w:r>
          </w:p>
          <w:p w14:paraId="798C6E61">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听汇报</w:t>
            </w:r>
          </w:p>
        </w:tc>
        <w:tc>
          <w:tcPr>
            <w:tcW w:w="992" w:type="dxa"/>
            <w:tcBorders>
              <w:top w:val="single" w:color="auto" w:sz="4" w:space="0"/>
              <w:left w:val="single" w:color="auto" w:sz="4" w:space="0"/>
              <w:bottom w:val="single" w:color="auto" w:sz="4" w:space="0"/>
              <w:right w:val="single" w:color="auto" w:sz="4" w:space="0"/>
            </w:tcBorders>
            <w:vAlign w:val="center"/>
          </w:tcPr>
          <w:p w14:paraId="7D073B1D">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3</w:t>
            </w:r>
          </w:p>
        </w:tc>
        <w:tc>
          <w:tcPr>
            <w:tcW w:w="738" w:type="dxa"/>
            <w:tcBorders>
              <w:top w:val="single" w:color="auto" w:sz="4" w:space="0"/>
              <w:left w:val="single" w:color="auto" w:sz="4" w:space="0"/>
              <w:bottom w:val="single" w:color="auto" w:sz="4" w:space="0"/>
              <w:right w:val="single" w:color="auto" w:sz="4" w:space="0"/>
            </w:tcBorders>
          </w:tcPr>
          <w:p w14:paraId="552C5C40">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20A37B37">
            <w:pPr>
              <w:spacing w:line="400" w:lineRule="exact"/>
              <w:rPr>
                <w:rFonts w:ascii="宋体" w:hAnsi="宋体" w:cs="Calibri"/>
                <w:b/>
                <w:i w:val="0"/>
                <w:iCs w:val="0"/>
                <w:color w:val="auto"/>
                <w:sz w:val="24"/>
                <w:szCs w:val="24"/>
                <w:highlight w:val="none"/>
                <w:u w:val="none"/>
              </w:rPr>
            </w:pPr>
          </w:p>
        </w:tc>
      </w:tr>
      <w:tr w14:paraId="32E3B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277" w:type="dxa"/>
            <w:vMerge w:val="restart"/>
            <w:tcBorders>
              <w:top w:val="nil"/>
              <w:left w:val="single" w:color="auto" w:sz="4" w:space="0"/>
              <w:bottom w:val="single" w:color="auto" w:sz="4" w:space="0"/>
              <w:right w:val="single" w:color="auto" w:sz="4" w:space="0"/>
            </w:tcBorders>
            <w:vAlign w:val="center"/>
          </w:tcPr>
          <w:p w14:paraId="2DC52883">
            <w:pPr>
              <w:spacing w:line="440" w:lineRule="exact"/>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巡</w:t>
            </w:r>
          </w:p>
          <w:p w14:paraId="1EED9FB9">
            <w:pPr>
              <w:spacing w:line="440" w:lineRule="exact"/>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逻</w:t>
            </w:r>
          </w:p>
          <w:p w14:paraId="50492474">
            <w:pPr>
              <w:spacing w:line="440" w:lineRule="exact"/>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岗</w:t>
            </w:r>
          </w:p>
          <w:p w14:paraId="1FE12FF3">
            <w:pPr>
              <w:spacing w:line="440" w:lineRule="exact"/>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位</w:t>
            </w:r>
          </w:p>
          <w:p w14:paraId="23191816">
            <w:pPr>
              <w:spacing w:line="400" w:lineRule="exact"/>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w:t>
            </w:r>
            <w:r>
              <w:rPr>
                <w:rFonts w:ascii="宋体" w:hAnsi="宋体" w:cs="Calibri"/>
                <w:b/>
                <w:i w:val="0"/>
                <w:iCs w:val="0"/>
                <w:color w:val="auto"/>
                <w:sz w:val="24"/>
                <w:szCs w:val="24"/>
                <w:highlight w:val="none"/>
                <w:u w:val="none"/>
              </w:rPr>
              <w:t>30</w:t>
            </w:r>
            <w:r>
              <w:rPr>
                <w:rFonts w:hint="eastAsia" w:ascii="宋体" w:hAnsi="宋体" w:cs="Calibri"/>
                <w:b/>
                <w:i w:val="0"/>
                <w:iCs w:val="0"/>
                <w:color w:val="auto"/>
                <w:sz w:val="24"/>
                <w:szCs w:val="24"/>
                <w:highlight w:val="none"/>
                <w:u w:val="none"/>
              </w:rPr>
              <w:t>分）</w:t>
            </w:r>
          </w:p>
        </w:tc>
        <w:tc>
          <w:tcPr>
            <w:tcW w:w="4252" w:type="dxa"/>
            <w:tcBorders>
              <w:top w:val="single" w:color="auto" w:sz="4" w:space="0"/>
              <w:left w:val="single" w:color="auto" w:sz="4" w:space="0"/>
              <w:bottom w:val="single" w:color="auto" w:sz="4" w:space="0"/>
              <w:right w:val="single" w:color="auto" w:sz="4" w:space="0"/>
            </w:tcBorders>
          </w:tcPr>
          <w:p w14:paraId="01EAEED0">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1、主要任务是校区内的重点要害及防火重点部位的巡逻和检查，维护校园秩序，保障师生生命财产不受侵害。</w:t>
            </w:r>
          </w:p>
        </w:tc>
        <w:tc>
          <w:tcPr>
            <w:tcW w:w="1276" w:type="dxa"/>
            <w:tcBorders>
              <w:top w:val="single" w:color="auto" w:sz="4" w:space="0"/>
              <w:left w:val="single" w:color="auto" w:sz="4" w:space="0"/>
              <w:bottom w:val="single" w:color="auto" w:sz="4" w:space="0"/>
              <w:right w:val="single" w:color="auto" w:sz="4" w:space="0"/>
            </w:tcBorders>
            <w:vAlign w:val="center"/>
          </w:tcPr>
          <w:p w14:paraId="49C17A2D">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听汇报</w:t>
            </w:r>
          </w:p>
          <w:p w14:paraId="769C9EF7">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现场查看</w:t>
            </w:r>
          </w:p>
          <w:p w14:paraId="3BD72CB7">
            <w:pPr>
              <w:jc w:val="center"/>
              <w:rPr>
                <w:rFonts w:ascii="宋体" w:hAnsi="宋体" w:cs="Calibri"/>
                <w:i w:val="0"/>
                <w:iCs w:val="0"/>
                <w:color w:val="auto"/>
                <w:sz w:val="24"/>
                <w:szCs w:val="24"/>
                <w:highlight w:val="none"/>
                <w:u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3AA91D14">
            <w:pPr>
              <w:jc w:val="center"/>
              <w:rPr>
                <w:rFonts w:ascii="宋体" w:hAnsi="宋体" w:cs="Calibri"/>
                <w:i w:val="0"/>
                <w:iCs w:val="0"/>
                <w:color w:val="auto"/>
                <w:sz w:val="24"/>
                <w:szCs w:val="24"/>
                <w:highlight w:val="none"/>
                <w:u w:val="none"/>
              </w:rPr>
            </w:pPr>
            <w:r>
              <w:rPr>
                <w:rFonts w:ascii="宋体" w:hAnsi="宋体" w:cs="Calibri"/>
                <w:i w:val="0"/>
                <w:iCs w:val="0"/>
                <w:color w:val="auto"/>
                <w:sz w:val="24"/>
                <w:szCs w:val="24"/>
                <w:highlight w:val="none"/>
                <w:u w:val="none"/>
              </w:rPr>
              <w:t>3</w:t>
            </w:r>
          </w:p>
        </w:tc>
        <w:tc>
          <w:tcPr>
            <w:tcW w:w="738" w:type="dxa"/>
            <w:tcBorders>
              <w:top w:val="single" w:color="auto" w:sz="4" w:space="0"/>
              <w:left w:val="single" w:color="auto" w:sz="4" w:space="0"/>
              <w:bottom w:val="single" w:color="auto" w:sz="4" w:space="0"/>
              <w:right w:val="single" w:color="auto" w:sz="4" w:space="0"/>
            </w:tcBorders>
          </w:tcPr>
          <w:p w14:paraId="2B56BD7D">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4752F2FD">
            <w:pPr>
              <w:spacing w:line="400" w:lineRule="exact"/>
              <w:rPr>
                <w:rFonts w:ascii="宋体" w:hAnsi="宋体" w:cs="Calibri"/>
                <w:b/>
                <w:i w:val="0"/>
                <w:iCs w:val="0"/>
                <w:color w:val="auto"/>
                <w:sz w:val="24"/>
                <w:szCs w:val="24"/>
                <w:highlight w:val="none"/>
                <w:u w:val="none"/>
              </w:rPr>
            </w:pPr>
          </w:p>
        </w:tc>
      </w:tr>
      <w:tr w14:paraId="3DAB2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277" w:type="dxa"/>
            <w:vMerge w:val="continue"/>
            <w:tcBorders>
              <w:top w:val="nil"/>
              <w:left w:val="single" w:color="auto" w:sz="4" w:space="0"/>
              <w:bottom w:val="single" w:color="auto" w:sz="4" w:space="0"/>
              <w:right w:val="single" w:color="auto" w:sz="4" w:space="0"/>
            </w:tcBorders>
            <w:vAlign w:val="center"/>
          </w:tcPr>
          <w:p w14:paraId="6B2D2094">
            <w:pPr>
              <w:widowControl/>
              <w:jc w:val="left"/>
              <w:rPr>
                <w:rFonts w:ascii="宋体" w:hAnsi="宋体" w:cs="Calibri"/>
                <w:b/>
                <w:i w:val="0"/>
                <w:iCs w:val="0"/>
                <w:color w:val="auto"/>
                <w:sz w:val="24"/>
                <w:szCs w:val="24"/>
                <w:highlight w:val="none"/>
                <w:u w:val="none"/>
              </w:rPr>
            </w:pPr>
          </w:p>
        </w:tc>
        <w:tc>
          <w:tcPr>
            <w:tcW w:w="4252" w:type="dxa"/>
            <w:tcBorders>
              <w:top w:val="single" w:color="auto" w:sz="4" w:space="0"/>
              <w:left w:val="single" w:color="auto" w:sz="4" w:space="0"/>
              <w:bottom w:val="single" w:color="auto" w:sz="4" w:space="0"/>
              <w:right w:val="single" w:color="auto" w:sz="4" w:space="0"/>
            </w:tcBorders>
          </w:tcPr>
          <w:p w14:paraId="4B83B7AB">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2、必须按规定时间和路线巡逻，爱护警具装备，并认真做好巡逻工作记录。</w:t>
            </w:r>
          </w:p>
        </w:tc>
        <w:tc>
          <w:tcPr>
            <w:tcW w:w="1276" w:type="dxa"/>
            <w:tcBorders>
              <w:top w:val="single" w:color="auto" w:sz="4" w:space="0"/>
              <w:left w:val="single" w:color="auto" w:sz="4" w:space="0"/>
              <w:bottom w:val="single" w:color="auto" w:sz="4" w:space="0"/>
              <w:right w:val="single" w:color="auto" w:sz="4" w:space="0"/>
            </w:tcBorders>
            <w:vAlign w:val="center"/>
          </w:tcPr>
          <w:p w14:paraId="57AD95FA">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查台账</w:t>
            </w:r>
          </w:p>
          <w:p w14:paraId="2492E91E">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现场查看</w:t>
            </w:r>
          </w:p>
        </w:tc>
        <w:tc>
          <w:tcPr>
            <w:tcW w:w="992" w:type="dxa"/>
            <w:tcBorders>
              <w:top w:val="single" w:color="auto" w:sz="4" w:space="0"/>
              <w:left w:val="single" w:color="auto" w:sz="4" w:space="0"/>
              <w:bottom w:val="single" w:color="auto" w:sz="4" w:space="0"/>
              <w:right w:val="single" w:color="auto" w:sz="4" w:space="0"/>
            </w:tcBorders>
            <w:vAlign w:val="center"/>
          </w:tcPr>
          <w:p w14:paraId="67CFC859">
            <w:pPr>
              <w:jc w:val="center"/>
              <w:rPr>
                <w:rFonts w:ascii="宋体" w:hAnsi="宋体" w:cs="Calibri"/>
                <w:i w:val="0"/>
                <w:iCs w:val="0"/>
                <w:color w:val="auto"/>
                <w:sz w:val="24"/>
                <w:szCs w:val="24"/>
                <w:highlight w:val="none"/>
                <w:u w:val="none"/>
              </w:rPr>
            </w:pPr>
            <w:r>
              <w:rPr>
                <w:rFonts w:ascii="宋体" w:hAnsi="宋体" w:cs="Calibri"/>
                <w:i w:val="0"/>
                <w:iCs w:val="0"/>
                <w:color w:val="auto"/>
                <w:sz w:val="24"/>
                <w:szCs w:val="24"/>
                <w:highlight w:val="none"/>
                <w:u w:val="none"/>
              </w:rPr>
              <w:t>3</w:t>
            </w:r>
          </w:p>
        </w:tc>
        <w:tc>
          <w:tcPr>
            <w:tcW w:w="738" w:type="dxa"/>
            <w:tcBorders>
              <w:top w:val="single" w:color="auto" w:sz="4" w:space="0"/>
              <w:left w:val="single" w:color="auto" w:sz="4" w:space="0"/>
              <w:bottom w:val="single" w:color="auto" w:sz="4" w:space="0"/>
              <w:right w:val="single" w:color="auto" w:sz="4" w:space="0"/>
            </w:tcBorders>
          </w:tcPr>
          <w:p w14:paraId="4E03BF50">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374F45E5">
            <w:pPr>
              <w:spacing w:line="400" w:lineRule="exact"/>
              <w:rPr>
                <w:rFonts w:ascii="宋体" w:hAnsi="宋体" w:cs="Calibri"/>
                <w:b/>
                <w:i w:val="0"/>
                <w:iCs w:val="0"/>
                <w:color w:val="auto"/>
                <w:sz w:val="24"/>
                <w:szCs w:val="24"/>
                <w:highlight w:val="none"/>
                <w:u w:val="none"/>
              </w:rPr>
            </w:pPr>
          </w:p>
        </w:tc>
      </w:tr>
      <w:tr w14:paraId="2DFA5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277" w:type="dxa"/>
            <w:vMerge w:val="continue"/>
            <w:tcBorders>
              <w:top w:val="nil"/>
              <w:left w:val="single" w:color="auto" w:sz="4" w:space="0"/>
              <w:bottom w:val="single" w:color="auto" w:sz="4" w:space="0"/>
              <w:right w:val="single" w:color="auto" w:sz="4" w:space="0"/>
            </w:tcBorders>
            <w:vAlign w:val="center"/>
          </w:tcPr>
          <w:p w14:paraId="08482AF4">
            <w:pPr>
              <w:widowControl/>
              <w:jc w:val="left"/>
              <w:rPr>
                <w:rFonts w:ascii="宋体" w:hAnsi="宋体" w:cs="Calibri"/>
                <w:b/>
                <w:i w:val="0"/>
                <w:iCs w:val="0"/>
                <w:color w:val="auto"/>
                <w:sz w:val="24"/>
                <w:szCs w:val="24"/>
                <w:highlight w:val="none"/>
                <w:u w:val="none"/>
              </w:rPr>
            </w:pPr>
          </w:p>
        </w:tc>
        <w:tc>
          <w:tcPr>
            <w:tcW w:w="4252" w:type="dxa"/>
            <w:tcBorders>
              <w:top w:val="single" w:color="auto" w:sz="4" w:space="0"/>
              <w:left w:val="single" w:color="auto" w:sz="4" w:space="0"/>
              <w:bottom w:val="single" w:color="auto" w:sz="4" w:space="0"/>
              <w:right w:val="single" w:color="auto" w:sz="4" w:space="0"/>
            </w:tcBorders>
          </w:tcPr>
          <w:p w14:paraId="076BFAAF">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3、值勤时要遵守工作纪律，不得擅离职守，迟到早退。保持服装统一，步调一致，文明礼貌，不准随意使用警具。</w:t>
            </w:r>
          </w:p>
        </w:tc>
        <w:tc>
          <w:tcPr>
            <w:tcW w:w="1276" w:type="dxa"/>
            <w:tcBorders>
              <w:top w:val="single" w:color="auto" w:sz="4" w:space="0"/>
              <w:left w:val="single" w:color="auto" w:sz="4" w:space="0"/>
              <w:bottom w:val="single" w:color="auto" w:sz="4" w:space="0"/>
              <w:right w:val="single" w:color="auto" w:sz="4" w:space="0"/>
            </w:tcBorders>
            <w:vAlign w:val="center"/>
          </w:tcPr>
          <w:p w14:paraId="7ACA4C04">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现场查看</w:t>
            </w:r>
          </w:p>
        </w:tc>
        <w:tc>
          <w:tcPr>
            <w:tcW w:w="992" w:type="dxa"/>
            <w:tcBorders>
              <w:top w:val="single" w:color="auto" w:sz="4" w:space="0"/>
              <w:left w:val="single" w:color="auto" w:sz="4" w:space="0"/>
              <w:bottom w:val="single" w:color="auto" w:sz="4" w:space="0"/>
              <w:right w:val="single" w:color="auto" w:sz="4" w:space="0"/>
            </w:tcBorders>
            <w:vAlign w:val="center"/>
          </w:tcPr>
          <w:p w14:paraId="74EF00D3">
            <w:pPr>
              <w:jc w:val="center"/>
              <w:rPr>
                <w:rFonts w:ascii="宋体" w:hAnsi="宋体" w:cs="Calibri"/>
                <w:i w:val="0"/>
                <w:iCs w:val="0"/>
                <w:color w:val="auto"/>
                <w:sz w:val="24"/>
                <w:szCs w:val="24"/>
                <w:highlight w:val="none"/>
                <w:u w:val="none"/>
              </w:rPr>
            </w:pPr>
            <w:r>
              <w:rPr>
                <w:rFonts w:ascii="宋体" w:hAnsi="宋体" w:cs="Calibri"/>
                <w:i w:val="0"/>
                <w:iCs w:val="0"/>
                <w:color w:val="auto"/>
                <w:sz w:val="24"/>
                <w:szCs w:val="24"/>
                <w:highlight w:val="none"/>
                <w:u w:val="none"/>
              </w:rPr>
              <w:t>3</w:t>
            </w:r>
          </w:p>
        </w:tc>
        <w:tc>
          <w:tcPr>
            <w:tcW w:w="738" w:type="dxa"/>
            <w:tcBorders>
              <w:top w:val="single" w:color="auto" w:sz="4" w:space="0"/>
              <w:left w:val="single" w:color="auto" w:sz="4" w:space="0"/>
              <w:bottom w:val="single" w:color="auto" w:sz="4" w:space="0"/>
              <w:right w:val="single" w:color="auto" w:sz="4" w:space="0"/>
            </w:tcBorders>
          </w:tcPr>
          <w:p w14:paraId="49918313">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4E842330">
            <w:pPr>
              <w:spacing w:line="400" w:lineRule="exact"/>
              <w:rPr>
                <w:rFonts w:ascii="宋体" w:hAnsi="宋体" w:cs="Calibri"/>
                <w:b/>
                <w:i w:val="0"/>
                <w:iCs w:val="0"/>
                <w:color w:val="auto"/>
                <w:sz w:val="24"/>
                <w:szCs w:val="24"/>
                <w:highlight w:val="none"/>
                <w:u w:val="none"/>
              </w:rPr>
            </w:pPr>
          </w:p>
        </w:tc>
      </w:tr>
      <w:tr w14:paraId="659FF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277" w:type="dxa"/>
            <w:vMerge w:val="continue"/>
            <w:tcBorders>
              <w:top w:val="nil"/>
              <w:left w:val="single" w:color="auto" w:sz="4" w:space="0"/>
              <w:bottom w:val="single" w:color="auto" w:sz="4" w:space="0"/>
              <w:right w:val="single" w:color="auto" w:sz="4" w:space="0"/>
            </w:tcBorders>
            <w:vAlign w:val="center"/>
          </w:tcPr>
          <w:p w14:paraId="773C3B72">
            <w:pPr>
              <w:widowControl/>
              <w:jc w:val="left"/>
              <w:rPr>
                <w:rFonts w:ascii="宋体" w:hAnsi="宋体" w:cs="Calibri"/>
                <w:b/>
                <w:i w:val="0"/>
                <w:iCs w:val="0"/>
                <w:color w:val="auto"/>
                <w:sz w:val="24"/>
                <w:szCs w:val="24"/>
                <w:highlight w:val="none"/>
                <w:u w:val="none"/>
              </w:rPr>
            </w:pPr>
          </w:p>
        </w:tc>
        <w:tc>
          <w:tcPr>
            <w:tcW w:w="4252" w:type="dxa"/>
            <w:tcBorders>
              <w:top w:val="single" w:color="auto" w:sz="4" w:space="0"/>
              <w:left w:val="single" w:color="auto" w:sz="4" w:space="0"/>
              <w:bottom w:val="single" w:color="auto" w:sz="4" w:space="0"/>
              <w:right w:val="single" w:color="auto" w:sz="4" w:space="0"/>
            </w:tcBorders>
          </w:tcPr>
          <w:p w14:paraId="14DD935A">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4、要善于盘查可疑人员，注意发现可疑迹象，随时保持高度警惕性，及时向带班领导汇报情况。</w:t>
            </w:r>
          </w:p>
        </w:tc>
        <w:tc>
          <w:tcPr>
            <w:tcW w:w="1276" w:type="dxa"/>
            <w:tcBorders>
              <w:top w:val="single" w:color="auto" w:sz="4" w:space="0"/>
              <w:left w:val="single" w:color="auto" w:sz="4" w:space="0"/>
              <w:bottom w:val="single" w:color="auto" w:sz="4" w:space="0"/>
              <w:right w:val="single" w:color="auto" w:sz="4" w:space="0"/>
            </w:tcBorders>
            <w:vAlign w:val="center"/>
          </w:tcPr>
          <w:p w14:paraId="7F813DAC">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查台账</w:t>
            </w:r>
          </w:p>
          <w:p w14:paraId="4496DBDB">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现场查看</w:t>
            </w:r>
          </w:p>
        </w:tc>
        <w:tc>
          <w:tcPr>
            <w:tcW w:w="992" w:type="dxa"/>
            <w:tcBorders>
              <w:top w:val="single" w:color="auto" w:sz="4" w:space="0"/>
              <w:left w:val="single" w:color="auto" w:sz="4" w:space="0"/>
              <w:bottom w:val="single" w:color="auto" w:sz="4" w:space="0"/>
              <w:right w:val="single" w:color="auto" w:sz="4" w:space="0"/>
            </w:tcBorders>
            <w:vAlign w:val="center"/>
          </w:tcPr>
          <w:p w14:paraId="6657BC42">
            <w:pPr>
              <w:jc w:val="center"/>
              <w:rPr>
                <w:rFonts w:ascii="宋体" w:hAnsi="宋体" w:cs="Calibri"/>
                <w:i w:val="0"/>
                <w:iCs w:val="0"/>
                <w:color w:val="auto"/>
                <w:sz w:val="24"/>
                <w:szCs w:val="24"/>
                <w:highlight w:val="none"/>
                <w:u w:val="none"/>
              </w:rPr>
            </w:pPr>
            <w:r>
              <w:rPr>
                <w:rFonts w:ascii="宋体" w:hAnsi="宋体" w:cs="Calibri"/>
                <w:i w:val="0"/>
                <w:iCs w:val="0"/>
                <w:color w:val="auto"/>
                <w:sz w:val="24"/>
                <w:szCs w:val="24"/>
                <w:highlight w:val="none"/>
                <w:u w:val="none"/>
              </w:rPr>
              <w:t>3</w:t>
            </w:r>
          </w:p>
        </w:tc>
        <w:tc>
          <w:tcPr>
            <w:tcW w:w="738" w:type="dxa"/>
            <w:tcBorders>
              <w:top w:val="single" w:color="auto" w:sz="4" w:space="0"/>
              <w:left w:val="single" w:color="auto" w:sz="4" w:space="0"/>
              <w:bottom w:val="single" w:color="auto" w:sz="4" w:space="0"/>
              <w:right w:val="single" w:color="auto" w:sz="4" w:space="0"/>
            </w:tcBorders>
          </w:tcPr>
          <w:p w14:paraId="7EE21FD1">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752B55E2">
            <w:pPr>
              <w:spacing w:line="400" w:lineRule="exact"/>
              <w:rPr>
                <w:rFonts w:ascii="宋体" w:hAnsi="宋体" w:cs="Calibri"/>
                <w:b/>
                <w:i w:val="0"/>
                <w:iCs w:val="0"/>
                <w:color w:val="auto"/>
                <w:sz w:val="24"/>
                <w:szCs w:val="24"/>
                <w:highlight w:val="none"/>
                <w:u w:val="none"/>
              </w:rPr>
            </w:pPr>
          </w:p>
        </w:tc>
      </w:tr>
      <w:tr w14:paraId="466B0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277" w:type="dxa"/>
            <w:vMerge w:val="continue"/>
            <w:tcBorders>
              <w:top w:val="nil"/>
              <w:left w:val="single" w:color="auto" w:sz="4" w:space="0"/>
              <w:bottom w:val="single" w:color="auto" w:sz="4" w:space="0"/>
              <w:right w:val="single" w:color="auto" w:sz="4" w:space="0"/>
            </w:tcBorders>
            <w:vAlign w:val="center"/>
          </w:tcPr>
          <w:p w14:paraId="16244A6D">
            <w:pPr>
              <w:widowControl/>
              <w:jc w:val="left"/>
              <w:rPr>
                <w:rFonts w:ascii="宋体" w:hAnsi="宋体" w:cs="Calibri"/>
                <w:b/>
                <w:i w:val="0"/>
                <w:iCs w:val="0"/>
                <w:color w:val="auto"/>
                <w:sz w:val="24"/>
                <w:szCs w:val="24"/>
                <w:highlight w:val="none"/>
                <w:u w:val="none"/>
              </w:rPr>
            </w:pPr>
          </w:p>
        </w:tc>
        <w:tc>
          <w:tcPr>
            <w:tcW w:w="4252" w:type="dxa"/>
            <w:tcBorders>
              <w:top w:val="single" w:color="auto" w:sz="4" w:space="0"/>
              <w:left w:val="single" w:color="auto" w:sz="4" w:space="0"/>
              <w:bottom w:val="single" w:color="auto" w:sz="4" w:space="0"/>
              <w:right w:val="single" w:color="auto" w:sz="4" w:space="0"/>
            </w:tcBorders>
          </w:tcPr>
          <w:p w14:paraId="1F97C6DC">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5、对发生的各种意外事故要及时采取措施，不得退缩不前;对重大事故和火灾要及时报警，并报告带班领导。</w:t>
            </w:r>
          </w:p>
        </w:tc>
        <w:tc>
          <w:tcPr>
            <w:tcW w:w="1276" w:type="dxa"/>
            <w:tcBorders>
              <w:top w:val="single" w:color="auto" w:sz="4" w:space="0"/>
              <w:left w:val="single" w:color="auto" w:sz="4" w:space="0"/>
              <w:bottom w:val="single" w:color="auto" w:sz="4" w:space="0"/>
              <w:right w:val="single" w:color="auto" w:sz="4" w:space="0"/>
            </w:tcBorders>
            <w:vAlign w:val="center"/>
          </w:tcPr>
          <w:p w14:paraId="0001F83D">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询问</w:t>
            </w:r>
          </w:p>
          <w:p w14:paraId="6703DF2C">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查台账</w:t>
            </w:r>
          </w:p>
        </w:tc>
        <w:tc>
          <w:tcPr>
            <w:tcW w:w="992" w:type="dxa"/>
            <w:tcBorders>
              <w:top w:val="single" w:color="auto" w:sz="4" w:space="0"/>
              <w:left w:val="single" w:color="auto" w:sz="4" w:space="0"/>
              <w:bottom w:val="single" w:color="auto" w:sz="4" w:space="0"/>
              <w:right w:val="single" w:color="auto" w:sz="4" w:space="0"/>
            </w:tcBorders>
            <w:vAlign w:val="center"/>
          </w:tcPr>
          <w:p w14:paraId="24C45DCD">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3</w:t>
            </w:r>
          </w:p>
        </w:tc>
        <w:tc>
          <w:tcPr>
            <w:tcW w:w="738" w:type="dxa"/>
            <w:tcBorders>
              <w:top w:val="single" w:color="auto" w:sz="4" w:space="0"/>
              <w:left w:val="single" w:color="auto" w:sz="4" w:space="0"/>
              <w:bottom w:val="single" w:color="auto" w:sz="4" w:space="0"/>
              <w:right w:val="single" w:color="auto" w:sz="4" w:space="0"/>
            </w:tcBorders>
          </w:tcPr>
          <w:p w14:paraId="79F7D623">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2EC750B2">
            <w:pPr>
              <w:spacing w:line="400" w:lineRule="exact"/>
              <w:rPr>
                <w:rFonts w:ascii="宋体" w:hAnsi="宋体" w:cs="Calibri"/>
                <w:b/>
                <w:i w:val="0"/>
                <w:iCs w:val="0"/>
                <w:color w:val="auto"/>
                <w:sz w:val="24"/>
                <w:szCs w:val="24"/>
                <w:highlight w:val="none"/>
                <w:u w:val="none"/>
              </w:rPr>
            </w:pPr>
          </w:p>
        </w:tc>
      </w:tr>
      <w:tr w14:paraId="62B6C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277" w:type="dxa"/>
            <w:vMerge w:val="continue"/>
            <w:tcBorders>
              <w:top w:val="nil"/>
              <w:left w:val="single" w:color="auto" w:sz="4" w:space="0"/>
              <w:bottom w:val="single" w:color="auto" w:sz="4" w:space="0"/>
              <w:right w:val="single" w:color="auto" w:sz="4" w:space="0"/>
            </w:tcBorders>
            <w:vAlign w:val="center"/>
          </w:tcPr>
          <w:p w14:paraId="294BA212">
            <w:pPr>
              <w:widowControl/>
              <w:jc w:val="left"/>
              <w:rPr>
                <w:rFonts w:ascii="宋体" w:hAnsi="宋体" w:cs="Calibri"/>
                <w:b/>
                <w:i w:val="0"/>
                <w:iCs w:val="0"/>
                <w:color w:val="auto"/>
                <w:sz w:val="24"/>
                <w:szCs w:val="24"/>
                <w:highlight w:val="none"/>
                <w:u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3D124DFA">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6、工作中必须坚持原则，不得徇私枉法、接受贿赂等违规行为。</w:t>
            </w:r>
          </w:p>
        </w:tc>
        <w:tc>
          <w:tcPr>
            <w:tcW w:w="1276" w:type="dxa"/>
            <w:tcBorders>
              <w:top w:val="single" w:color="auto" w:sz="4" w:space="0"/>
              <w:left w:val="single" w:color="auto" w:sz="4" w:space="0"/>
              <w:bottom w:val="single" w:color="auto" w:sz="4" w:space="0"/>
              <w:right w:val="single" w:color="auto" w:sz="4" w:space="0"/>
            </w:tcBorders>
            <w:vAlign w:val="center"/>
          </w:tcPr>
          <w:p w14:paraId="3D7EDFBE">
            <w:pPr>
              <w:jc w:val="center"/>
              <w:rPr>
                <w:rFonts w:ascii="宋体" w:hAnsi="宋体" w:cs="Calibri"/>
                <w:i w:val="0"/>
                <w:iCs w:val="0"/>
                <w:color w:val="auto"/>
                <w:sz w:val="24"/>
                <w:szCs w:val="24"/>
                <w:highlight w:val="none"/>
                <w:u w:val="none"/>
              </w:rPr>
            </w:pPr>
            <w:r>
              <w:rPr>
                <w:rFonts w:ascii="宋体" w:hAnsi="宋体" w:cs="Calibri"/>
                <w:i w:val="0"/>
                <w:iCs w:val="0"/>
                <w:color w:val="auto"/>
                <w:sz w:val="24"/>
                <w:szCs w:val="24"/>
                <w:highlight w:val="none"/>
                <w:u w:val="none"/>
              </w:rPr>
              <w:t>听汇报</w:t>
            </w:r>
          </w:p>
          <w:p w14:paraId="74FA50BC">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教职工</w:t>
            </w:r>
            <w:r>
              <w:rPr>
                <w:rFonts w:ascii="宋体" w:hAnsi="宋体" w:cs="Calibri"/>
                <w:i w:val="0"/>
                <w:iCs w:val="0"/>
                <w:color w:val="auto"/>
                <w:sz w:val="24"/>
                <w:szCs w:val="24"/>
                <w:highlight w:val="none"/>
                <w:u w:val="none"/>
              </w:rPr>
              <w:t>反</w:t>
            </w:r>
            <w:r>
              <w:rPr>
                <w:rFonts w:hint="eastAsia" w:ascii="宋体" w:hAnsi="宋体" w:cs="Calibri"/>
                <w:i w:val="0"/>
                <w:iCs w:val="0"/>
                <w:color w:val="auto"/>
                <w:sz w:val="24"/>
                <w:szCs w:val="24"/>
                <w:highlight w:val="none"/>
                <w:u w:val="none"/>
              </w:rPr>
              <w:t>馈</w:t>
            </w:r>
          </w:p>
        </w:tc>
        <w:tc>
          <w:tcPr>
            <w:tcW w:w="992" w:type="dxa"/>
            <w:tcBorders>
              <w:top w:val="single" w:color="auto" w:sz="4" w:space="0"/>
              <w:left w:val="single" w:color="auto" w:sz="4" w:space="0"/>
              <w:bottom w:val="single" w:color="auto" w:sz="4" w:space="0"/>
              <w:right w:val="single" w:color="auto" w:sz="4" w:space="0"/>
            </w:tcBorders>
            <w:vAlign w:val="center"/>
          </w:tcPr>
          <w:p w14:paraId="31D64B53">
            <w:pPr>
              <w:jc w:val="center"/>
              <w:rPr>
                <w:rFonts w:ascii="宋体" w:hAnsi="宋体" w:cs="Calibri"/>
                <w:i w:val="0"/>
                <w:iCs w:val="0"/>
                <w:color w:val="auto"/>
                <w:sz w:val="24"/>
                <w:szCs w:val="24"/>
                <w:highlight w:val="none"/>
                <w:u w:val="none"/>
              </w:rPr>
            </w:pPr>
            <w:r>
              <w:rPr>
                <w:rFonts w:ascii="宋体" w:hAnsi="宋体" w:cs="Calibri"/>
                <w:i w:val="0"/>
                <w:iCs w:val="0"/>
                <w:color w:val="auto"/>
                <w:sz w:val="24"/>
                <w:szCs w:val="24"/>
                <w:highlight w:val="none"/>
                <w:u w:val="none"/>
              </w:rPr>
              <w:t>3</w:t>
            </w:r>
          </w:p>
        </w:tc>
        <w:tc>
          <w:tcPr>
            <w:tcW w:w="738" w:type="dxa"/>
            <w:tcBorders>
              <w:top w:val="single" w:color="auto" w:sz="4" w:space="0"/>
              <w:left w:val="single" w:color="auto" w:sz="4" w:space="0"/>
              <w:bottom w:val="single" w:color="auto" w:sz="4" w:space="0"/>
              <w:right w:val="single" w:color="auto" w:sz="4" w:space="0"/>
            </w:tcBorders>
          </w:tcPr>
          <w:p w14:paraId="7C259F7F">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07367045">
            <w:pPr>
              <w:spacing w:line="400" w:lineRule="exact"/>
              <w:rPr>
                <w:rFonts w:ascii="宋体" w:hAnsi="宋体" w:cs="Calibri"/>
                <w:b/>
                <w:i w:val="0"/>
                <w:iCs w:val="0"/>
                <w:color w:val="auto"/>
                <w:sz w:val="24"/>
                <w:szCs w:val="24"/>
                <w:highlight w:val="none"/>
                <w:u w:val="none"/>
              </w:rPr>
            </w:pPr>
          </w:p>
        </w:tc>
      </w:tr>
      <w:tr w14:paraId="51720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277" w:type="dxa"/>
            <w:vMerge w:val="continue"/>
            <w:tcBorders>
              <w:top w:val="nil"/>
              <w:left w:val="single" w:color="auto" w:sz="4" w:space="0"/>
              <w:bottom w:val="single" w:color="auto" w:sz="4" w:space="0"/>
              <w:right w:val="single" w:color="auto" w:sz="4" w:space="0"/>
            </w:tcBorders>
            <w:vAlign w:val="center"/>
          </w:tcPr>
          <w:p w14:paraId="5A721DD9">
            <w:pPr>
              <w:widowControl/>
              <w:jc w:val="left"/>
              <w:rPr>
                <w:rFonts w:ascii="宋体" w:hAnsi="宋体" w:cs="Calibri"/>
                <w:b/>
                <w:i w:val="0"/>
                <w:iCs w:val="0"/>
                <w:color w:val="auto"/>
                <w:sz w:val="24"/>
                <w:szCs w:val="24"/>
                <w:highlight w:val="none"/>
                <w:u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72062554">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7、认真填写交接班记录，按时交接班。完成校区重大活动期间的安全保障任务。</w:t>
            </w:r>
          </w:p>
        </w:tc>
        <w:tc>
          <w:tcPr>
            <w:tcW w:w="1276" w:type="dxa"/>
            <w:tcBorders>
              <w:top w:val="single" w:color="auto" w:sz="4" w:space="0"/>
              <w:left w:val="single" w:color="auto" w:sz="4" w:space="0"/>
              <w:bottom w:val="single" w:color="auto" w:sz="4" w:space="0"/>
              <w:right w:val="single" w:color="auto" w:sz="4" w:space="0"/>
            </w:tcBorders>
            <w:vAlign w:val="center"/>
          </w:tcPr>
          <w:p w14:paraId="05442182">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听</w:t>
            </w:r>
            <w:r>
              <w:rPr>
                <w:rFonts w:ascii="宋体" w:hAnsi="宋体" w:cs="Calibri"/>
                <w:i w:val="0"/>
                <w:iCs w:val="0"/>
                <w:color w:val="auto"/>
                <w:sz w:val="24"/>
                <w:szCs w:val="24"/>
                <w:highlight w:val="none"/>
                <w:u w:val="none"/>
              </w:rPr>
              <w:t>汇报</w:t>
            </w:r>
          </w:p>
          <w:p w14:paraId="33531A7F">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查台账</w:t>
            </w:r>
          </w:p>
        </w:tc>
        <w:tc>
          <w:tcPr>
            <w:tcW w:w="992" w:type="dxa"/>
            <w:tcBorders>
              <w:top w:val="single" w:color="auto" w:sz="4" w:space="0"/>
              <w:left w:val="single" w:color="auto" w:sz="4" w:space="0"/>
              <w:bottom w:val="single" w:color="auto" w:sz="4" w:space="0"/>
              <w:right w:val="single" w:color="auto" w:sz="4" w:space="0"/>
            </w:tcBorders>
            <w:vAlign w:val="center"/>
          </w:tcPr>
          <w:p w14:paraId="700FFA46">
            <w:pPr>
              <w:tabs>
                <w:tab w:val="left" w:pos="465"/>
              </w:tabs>
              <w:jc w:val="center"/>
              <w:rPr>
                <w:rFonts w:ascii="宋体" w:hAnsi="宋体" w:cs="Calibri"/>
                <w:i w:val="0"/>
                <w:iCs w:val="0"/>
                <w:color w:val="auto"/>
                <w:sz w:val="24"/>
                <w:szCs w:val="24"/>
                <w:highlight w:val="none"/>
                <w:u w:val="none"/>
              </w:rPr>
            </w:pPr>
            <w:r>
              <w:rPr>
                <w:rFonts w:ascii="宋体" w:hAnsi="宋体" w:cs="Calibri"/>
                <w:i w:val="0"/>
                <w:iCs w:val="0"/>
                <w:color w:val="auto"/>
                <w:sz w:val="24"/>
                <w:szCs w:val="24"/>
                <w:highlight w:val="none"/>
                <w:u w:val="none"/>
              </w:rPr>
              <w:t>3</w:t>
            </w:r>
          </w:p>
        </w:tc>
        <w:tc>
          <w:tcPr>
            <w:tcW w:w="738" w:type="dxa"/>
            <w:tcBorders>
              <w:top w:val="single" w:color="auto" w:sz="4" w:space="0"/>
              <w:left w:val="single" w:color="auto" w:sz="4" w:space="0"/>
              <w:bottom w:val="single" w:color="auto" w:sz="4" w:space="0"/>
              <w:right w:val="single" w:color="auto" w:sz="4" w:space="0"/>
            </w:tcBorders>
          </w:tcPr>
          <w:p w14:paraId="7377662E">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3791C3A2">
            <w:pPr>
              <w:spacing w:line="400" w:lineRule="exact"/>
              <w:rPr>
                <w:rFonts w:ascii="宋体" w:hAnsi="宋体" w:cs="Calibri"/>
                <w:b/>
                <w:i w:val="0"/>
                <w:iCs w:val="0"/>
                <w:color w:val="auto"/>
                <w:sz w:val="24"/>
                <w:szCs w:val="24"/>
                <w:highlight w:val="none"/>
                <w:u w:val="none"/>
              </w:rPr>
            </w:pPr>
          </w:p>
        </w:tc>
      </w:tr>
      <w:tr w14:paraId="788D5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277" w:type="dxa"/>
            <w:vMerge w:val="continue"/>
            <w:tcBorders>
              <w:top w:val="nil"/>
              <w:left w:val="single" w:color="auto" w:sz="4" w:space="0"/>
              <w:bottom w:val="single" w:color="auto" w:sz="4" w:space="0"/>
              <w:right w:val="single" w:color="auto" w:sz="4" w:space="0"/>
            </w:tcBorders>
            <w:vAlign w:val="center"/>
          </w:tcPr>
          <w:p w14:paraId="586B5BD4">
            <w:pPr>
              <w:widowControl/>
              <w:jc w:val="left"/>
              <w:rPr>
                <w:rFonts w:ascii="宋体" w:hAnsi="宋体" w:cs="Calibri"/>
                <w:b/>
                <w:i w:val="0"/>
                <w:iCs w:val="0"/>
                <w:color w:val="auto"/>
                <w:sz w:val="24"/>
                <w:szCs w:val="24"/>
                <w:highlight w:val="none"/>
                <w:u w:val="none"/>
              </w:rPr>
            </w:pPr>
          </w:p>
        </w:tc>
        <w:tc>
          <w:tcPr>
            <w:tcW w:w="4252" w:type="dxa"/>
            <w:tcBorders>
              <w:top w:val="single" w:color="auto" w:sz="4" w:space="0"/>
              <w:left w:val="single" w:color="auto" w:sz="4" w:space="0"/>
              <w:bottom w:val="single" w:color="auto" w:sz="4" w:space="0"/>
              <w:right w:val="single" w:color="auto" w:sz="4" w:space="0"/>
            </w:tcBorders>
          </w:tcPr>
          <w:p w14:paraId="693BAF08">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8、协调处理当班的一般警情，并及时报告值班干部，重大事件立即上报校区保卫科。</w:t>
            </w:r>
          </w:p>
        </w:tc>
        <w:tc>
          <w:tcPr>
            <w:tcW w:w="1276" w:type="dxa"/>
            <w:tcBorders>
              <w:top w:val="single" w:color="auto" w:sz="4" w:space="0"/>
              <w:left w:val="single" w:color="auto" w:sz="4" w:space="0"/>
              <w:bottom w:val="single" w:color="auto" w:sz="4" w:space="0"/>
              <w:right w:val="single" w:color="auto" w:sz="4" w:space="0"/>
            </w:tcBorders>
            <w:vAlign w:val="center"/>
          </w:tcPr>
          <w:p w14:paraId="34D0F5B3">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询问</w:t>
            </w:r>
          </w:p>
          <w:p w14:paraId="68156D3B">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现场查看</w:t>
            </w:r>
          </w:p>
        </w:tc>
        <w:tc>
          <w:tcPr>
            <w:tcW w:w="992" w:type="dxa"/>
            <w:tcBorders>
              <w:top w:val="single" w:color="auto" w:sz="4" w:space="0"/>
              <w:left w:val="single" w:color="auto" w:sz="4" w:space="0"/>
              <w:bottom w:val="single" w:color="auto" w:sz="4" w:space="0"/>
              <w:right w:val="single" w:color="auto" w:sz="4" w:space="0"/>
            </w:tcBorders>
            <w:vAlign w:val="center"/>
          </w:tcPr>
          <w:p w14:paraId="1D921DE4">
            <w:pPr>
              <w:jc w:val="center"/>
              <w:rPr>
                <w:rFonts w:ascii="宋体" w:hAnsi="宋体" w:cs="Calibri"/>
                <w:i w:val="0"/>
                <w:iCs w:val="0"/>
                <w:color w:val="auto"/>
                <w:sz w:val="24"/>
                <w:szCs w:val="24"/>
                <w:highlight w:val="none"/>
                <w:u w:val="none"/>
              </w:rPr>
            </w:pPr>
            <w:r>
              <w:rPr>
                <w:rFonts w:ascii="宋体" w:hAnsi="宋体" w:cs="Calibri"/>
                <w:i w:val="0"/>
                <w:iCs w:val="0"/>
                <w:color w:val="auto"/>
                <w:sz w:val="24"/>
                <w:szCs w:val="24"/>
                <w:highlight w:val="none"/>
                <w:u w:val="none"/>
              </w:rPr>
              <w:t>3</w:t>
            </w:r>
          </w:p>
        </w:tc>
        <w:tc>
          <w:tcPr>
            <w:tcW w:w="738" w:type="dxa"/>
            <w:tcBorders>
              <w:top w:val="single" w:color="auto" w:sz="4" w:space="0"/>
              <w:left w:val="single" w:color="auto" w:sz="4" w:space="0"/>
              <w:bottom w:val="single" w:color="auto" w:sz="4" w:space="0"/>
              <w:right w:val="single" w:color="auto" w:sz="4" w:space="0"/>
            </w:tcBorders>
          </w:tcPr>
          <w:p w14:paraId="5D5AB6E2">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63950299">
            <w:pPr>
              <w:spacing w:line="400" w:lineRule="exact"/>
              <w:rPr>
                <w:rFonts w:ascii="宋体" w:hAnsi="宋体" w:cs="Calibri"/>
                <w:b/>
                <w:i w:val="0"/>
                <w:iCs w:val="0"/>
                <w:color w:val="auto"/>
                <w:sz w:val="24"/>
                <w:szCs w:val="24"/>
                <w:highlight w:val="none"/>
                <w:u w:val="none"/>
              </w:rPr>
            </w:pPr>
          </w:p>
        </w:tc>
      </w:tr>
      <w:tr w14:paraId="61304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277" w:type="dxa"/>
            <w:vMerge w:val="continue"/>
            <w:tcBorders>
              <w:top w:val="nil"/>
              <w:left w:val="single" w:color="auto" w:sz="4" w:space="0"/>
              <w:bottom w:val="single" w:color="auto" w:sz="4" w:space="0"/>
              <w:right w:val="single" w:color="auto" w:sz="4" w:space="0"/>
            </w:tcBorders>
            <w:vAlign w:val="center"/>
          </w:tcPr>
          <w:p w14:paraId="2D102FB5">
            <w:pPr>
              <w:widowControl/>
              <w:jc w:val="left"/>
              <w:rPr>
                <w:rFonts w:ascii="宋体" w:hAnsi="宋体" w:cs="Calibri"/>
                <w:b/>
                <w:i w:val="0"/>
                <w:iCs w:val="0"/>
                <w:color w:val="auto"/>
                <w:sz w:val="24"/>
                <w:szCs w:val="24"/>
                <w:highlight w:val="none"/>
                <w:u w:val="none"/>
              </w:rPr>
            </w:pPr>
          </w:p>
        </w:tc>
        <w:tc>
          <w:tcPr>
            <w:tcW w:w="4252" w:type="dxa"/>
            <w:tcBorders>
              <w:top w:val="single" w:color="auto" w:sz="4" w:space="0"/>
              <w:left w:val="single" w:color="auto" w:sz="4" w:space="0"/>
              <w:bottom w:val="single" w:color="auto" w:sz="4" w:space="0"/>
              <w:right w:val="single" w:color="auto" w:sz="4" w:space="0"/>
            </w:tcBorders>
          </w:tcPr>
          <w:p w14:paraId="6C6F75AE">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9、爱护公共财物，甲方移交资产有专人负责管理，保持室内卫生，保持工作环境整洁。</w:t>
            </w:r>
          </w:p>
        </w:tc>
        <w:tc>
          <w:tcPr>
            <w:tcW w:w="1276" w:type="dxa"/>
            <w:tcBorders>
              <w:top w:val="single" w:color="auto" w:sz="4" w:space="0"/>
              <w:left w:val="single" w:color="auto" w:sz="4" w:space="0"/>
              <w:bottom w:val="single" w:color="auto" w:sz="4" w:space="0"/>
              <w:right w:val="single" w:color="auto" w:sz="4" w:space="0"/>
            </w:tcBorders>
            <w:vAlign w:val="center"/>
          </w:tcPr>
          <w:p w14:paraId="29493914">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现场查看</w:t>
            </w:r>
          </w:p>
        </w:tc>
        <w:tc>
          <w:tcPr>
            <w:tcW w:w="992" w:type="dxa"/>
            <w:tcBorders>
              <w:top w:val="single" w:color="auto" w:sz="4" w:space="0"/>
              <w:left w:val="single" w:color="auto" w:sz="4" w:space="0"/>
              <w:bottom w:val="single" w:color="auto" w:sz="4" w:space="0"/>
              <w:right w:val="single" w:color="auto" w:sz="4" w:space="0"/>
            </w:tcBorders>
            <w:vAlign w:val="center"/>
          </w:tcPr>
          <w:p w14:paraId="4ED887BC">
            <w:pPr>
              <w:jc w:val="center"/>
              <w:rPr>
                <w:rFonts w:ascii="宋体" w:hAnsi="宋体" w:cs="Calibri"/>
                <w:i w:val="0"/>
                <w:iCs w:val="0"/>
                <w:color w:val="auto"/>
                <w:sz w:val="24"/>
                <w:szCs w:val="24"/>
                <w:highlight w:val="none"/>
                <w:u w:val="none"/>
              </w:rPr>
            </w:pPr>
            <w:r>
              <w:rPr>
                <w:rFonts w:ascii="宋体" w:hAnsi="宋体" w:cs="Calibri"/>
                <w:i w:val="0"/>
                <w:iCs w:val="0"/>
                <w:color w:val="auto"/>
                <w:sz w:val="24"/>
                <w:szCs w:val="24"/>
                <w:highlight w:val="none"/>
                <w:u w:val="none"/>
              </w:rPr>
              <w:t>3</w:t>
            </w:r>
          </w:p>
        </w:tc>
        <w:tc>
          <w:tcPr>
            <w:tcW w:w="738" w:type="dxa"/>
            <w:tcBorders>
              <w:top w:val="single" w:color="auto" w:sz="4" w:space="0"/>
              <w:left w:val="single" w:color="auto" w:sz="4" w:space="0"/>
              <w:bottom w:val="single" w:color="auto" w:sz="4" w:space="0"/>
              <w:right w:val="single" w:color="auto" w:sz="4" w:space="0"/>
            </w:tcBorders>
          </w:tcPr>
          <w:p w14:paraId="2E6C14F1">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40C8C190">
            <w:pPr>
              <w:spacing w:line="400" w:lineRule="exact"/>
              <w:rPr>
                <w:rFonts w:ascii="宋体" w:hAnsi="宋体" w:cs="Calibri"/>
                <w:b/>
                <w:i w:val="0"/>
                <w:iCs w:val="0"/>
                <w:color w:val="auto"/>
                <w:sz w:val="24"/>
                <w:szCs w:val="24"/>
                <w:highlight w:val="none"/>
                <w:u w:val="none"/>
              </w:rPr>
            </w:pPr>
          </w:p>
        </w:tc>
      </w:tr>
      <w:tr w14:paraId="0ACC8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277" w:type="dxa"/>
            <w:vMerge w:val="continue"/>
            <w:tcBorders>
              <w:top w:val="nil"/>
              <w:left w:val="single" w:color="auto" w:sz="4" w:space="0"/>
              <w:bottom w:val="single" w:color="auto" w:sz="4" w:space="0"/>
              <w:right w:val="single" w:color="auto" w:sz="4" w:space="0"/>
            </w:tcBorders>
            <w:vAlign w:val="center"/>
          </w:tcPr>
          <w:p w14:paraId="021BD53B">
            <w:pPr>
              <w:widowControl/>
              <w:jc w:val="left"/>
              <w:rPr>
                <w:rFonts w:ascii="宋体" w:hAnsi="宋体" w:cs="Calibri"/>
                <w:b/>
                <w:i w:val="0"/>
                <w:iCs w:val="0"/>
                <w:color w:val="auto"/>
                <w:sz w:val="24"/>
                <w:szCs w:val="24"/>
                <w:highlight w:val="none"/>
                <w:u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05D49B95">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10、完成校区保卫科交办的其他任务。</w:t>
            </w:r>
          </w:p>
        </w:tc>
        <w:tc>
          <w:tcPr>
            <w:tcW w:w="1276" w:type="dxa"/>
            <w:tcBorders>
              <w:top w:val="single" w:color="auto" w:sz="4" w:space="0"/>
              <w:left w:val="single" w:color="auto" w:sz="4" w:space="0"/>
              <w:bottom w:val="single" w:color="auto" w:sz="4" w:space="0"/>
              <w:right w:val="single" w:color="auto" w:sz="4" w:space="0"/>
            </w:tcBorders>
            <w:vAlign w:val="center"/>
          </w:tcPr>
          <w:p w14:paraId="3717F4EF">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听汇报</w:t>
            </w:r>
          </w:p>
          <w:p w14:paraId="7E68F03D">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查台账</w:t>
            </w:r>
          </w:p>
        </w:tc>
        <w:tc>
          <w:tcPr>
            <w:tcW w:w="992" w:type="dxa"/>
            <w:tcBorders>
              <w:top w:val="single" w:color="auto" w:sz="4" w:space="0"/>
              <w:left w:val="single" w:color="auto" w:sz="4" w:space="0"/>
              <w:bottom w:val="single" w:color="auto" w:sz="4" w:space="0"/>
              <w:right w:val="single" w:color="auto" w:sz="4" w:space="0"/>
            </w:tcBorders>
            <w:vAlign w:val="center"/>
          </w:tcPr>
          <w:p w14:paraId="0A387EC4">
            <w:pPr>
              <w:jc w:val="center"/>
              <w:rPr>
                <w:rFonts w:ascii="宋体" w:hAnsi="宋体" w:cs="Calibri"/>
                <w:i w:val="0"/>
                <w:iCs w:val="0"/>
                <w:color w:val="auto"/>
                <w:sz w:val="24"/>
                <w:szCs w:val="24"/>
                <w:highlight w:val="none"/>
                <w:u w:val="none"/>
              </w:rPr>
            </w:pPr>
            <w:r>
              <w:rPr>
                <w:rFonts w:ascii="宋体" w:hAnsi="宋体" w:cs="Calibri"/>
                <w:i w:val="0"/>
                <w:iCs w:val="0"/>
                <w:color w:val="auto"/>
                <w:sz w:val="24"/>
                <w:szCs w:val="24"/>
                <w:highlight w:val="none"/>
                <w:u w:val="none"/>
              </w:rPr>
              <w:t>3</w:t>
            </w:r>
          </w:p>
        </w:tc>
        <w:tc>
          <w:tcPr>
            <w:tcW w:w="738" w:type="dxa"/>
            <w:tcBorders>
              <w:top w:val="single" w:color="auto" w:sz="4" w:space="0"/>
              <w:left w:val="single" w:color="auto" w:sz="4" w:space="0"/>
              <w:bottom w:val="single" w:color="auto" w:sz="4" w:space="0"/>
              <w:right w:val="single" w:color="auto" w:sz="4" w:space="0"/>
            </w:tcBorders>
          </w:tcPr>
          <w:p w14:paraId="6E7B383A">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4EA4C501">
            <w:pPr>
              <w:spacing w:line="400" w:lineRule="exact"/>
              <w:rPr>
                <w:rFonts w:ascii="宋体" w:hAnsi="宋体" w:cs="Calibri"/>
                <w:b/>
                <w:i w:val="0"/>
                <w:iCs w:val="0"/>
                <w:color w:val="auto"/>
                <w:sz w:val="24"/>
                <w:szCs w:val="24"/>
                <w:highlight w:val="none"/>
                <w:u w:val="none"/>
              </w:rPr>
            </w:pPr>
          </w:p>
        </w:tc>
      </w:tr>
      <w:tr w14:paraId="25354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277" w:type="dxa"/>
            <w:vMerge w:val="restart"/>
            <w:tcBorders>
              <w:top w:val="nil"/>
              <w:left w:val="single" w:color="auto" w:sz="4" w:space="0"/>
              <w:bottom w:val="single" w:color="auto" w:sz="4" w:space="0"/>
              <w:right w:val="single" w:color="auto" w:sz="4" w:space="0"/>
            </w:tcBorders>
            <w:vAlign w:val="center"/>
          </w:tcPr>
          <w:p w14:paraId="3DE70494">
            <w:pPr>
              <w:spacing w:line="380" w:lineRule="exact"/>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消</w:t>
            </w:r>
          </w:p>
          <w:p w14:paraId="4339E56D">
            <w:pPr>
              <w:spacing w:line="380" w:lineRule="exact"/>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防</w:t>
            </w:r>
          </w:p>
          <w:p w14:paraId="7F8BAC21">
            <w:pPr>
              <w:spacing w:line="380" w:lineRule="exact"/>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控</w:t>
            </w:r>
          </w:p>
          <w:p w14:paraId="2C3A2B5F">
            <w:pPr>
              <w:spacing w:line="380" w:lineRule="exact"/>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制</w:t>
            </w:r>
          </w:p>
          <w:p w14:paraId="164913DB">
            <w:pPr>
              <w:spacing w:line="380" w:lineRule="exact"/>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室</w:t>
            </w:r>
          </w:p>
          <w:p w14:paraId="31ED03D4">
            <w:pPr>
              <w:spacing w:line="380" w:lineRule="exact"/>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岗</w:t>
            </w:r>
          </w:p>
          <w:p w14:paraId="470C6428">
            <w:pPr>
              <w:spacing w:line="380" w:lineRule="exact"/>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位</w:t>
            </w:r>
          </w:p>
          <w:p w14:paraId="5358046B">
            <w:pPr>
              <w:spacing w:line="400" w:lineRule="exact"/>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w:t>
            </w:r>
            <w:r>
              <w:rPr>
                <w:rFonts w:ascii="宋体" w:hAnsi="宋体" w:cs="Calibri"/>
                <w:b/>
                <w:i w:val="0"/>
                <w:iCs w:val="0"/>
                <w:color w:val="auto"/>
                <w:sz w:val="24"/>
                <w:szCs w:val="24"/>
                <w:highlight w:val="none"/>
                <w:u w:val="none"/>
              </w:rPr>
              <w:t>30</w:t>
            </w:r>
            <w:r>
              <w:rPr>
                <w:rFonts w:hint="eastAsia" w:ascii="宋体" w:hAnsi="宋体" w:cs="Calibri"/>
                <w:b/>
                <w:i w:val="0"/>
                <w:iCs w:val="0"/>
                <w:color w:val="auto"/>
                <w:sz w:val="24"/>
                <w:szCs w:val="24"/>
                <w:highlight w:val="none"/>
                <w:u w:val="none"/>
              </w:rPr>
              <w:t>分）</w:t>
            </w:r>
          </w:p>
        </w:tc>
        <w:tc>
          <w:tcPr>
            <w:tcW w:w="4252" w:type="dxa"/>
            <w:tcBorders>
              <w:top w:val="single" w:color="auto" w:sz="4" w:space="0"/>
              <w:left w:val="single" w:color="auto" w:sz="4" w:space="0"/>
              <w:bottom w:val="single" w:color="auto" w:sz="4" w:space="0"/>
              <w:right w:val="single" w:color="auto" w:sz="4" w:space="0"/>
            </w:tcBorders>
            <w:vAlign w:val="center"/>
          </w:tcPr>
          <w:p w14:paraId="4EE894D9">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1、对各种消防控制设备进行严密的监视和运用,认真履行岗位操作责任制,不得擅离职守做好检查,操作等工作。</w:t>
            </w:r>
          </w:p>
        </w:tc>
        <w:tc>
          <w:tcPr>
            <w:tcW w:w="1276" w:type="dxa"/>
            <w:tcBorders>
              <w:top w:val="single" w:color="auto" w:sz="4" w:space="0"/>
              <w:left w:val="single" w:color="auto" w:sz="4" w:space="0"/>
              <w:bottom w:val="single" w:color="auto" w:sz="4" w:space="0"/>
              <w:right w:val="single" w:color="auto" w:sz="4" w:space="0"/>
            </w:tcBorders>
            <w:vAlign w:val="center"/>
          </w:tcPr>
          <w:p w14:paraId="76F3EDAB">
            <w:pPr>
              <w:jc w:val="center"/>
              <w:rPr>
                <w:rFonts w:ascii="宋体" w:hAnsi="宋体" w:cs="Calibri"/>
                <w:i w:val="0"/>
                <w:iCs w:val="0"/>
                <w:color w:val="auto"/>
                <w:sz w:val="24"/>
                <w:szCs w:val="24"/>
                <w:highlight w:val="none"/>
                <w:u w:val="none"/>
              </w:rPr>
            </w:pPr>
            <w:r>
              <w:rPr>
                <w:rFonts w:ascii="宋体" w:hAnsi="宋体" w:cs="Calibri"/>
                <w:i w:val="0"/>
                <w:iCs w:val="0"/>
                <w:color w:val="auto"/>
                <w:sz w:val="24"/>
                <w:szCs w:val="24"/>
                <w:highlight w:val="none"/>
                <w:u w:val="none"/>
              </w:rPr>
              <w:t>现场查看</w:t>
            </w:r>
          </w:p>
        </w:tc>
        <w:tc>
          <w:tcPr>
            <w:tcW w:w="992" w:type="dxa"/>
            <w:tcBorders>
              <w:top w:val="single" w:color="auto" w:sz="4" w:space="0"/>
              <w:left w:val="single" w:color="auto" w:sz="4" w:space="0"/>
              <w:bottom w:val="single" w:color="auto" w:sz="4" w:space="0"/>
              <w:right w:val="single" w:color="auto" w:sz="4" w:space="0"/>
            </w:tcBorders>
            <w:vAlign w:val="center"/>
          </w:tcPr>
          <w:p w14:paraId="037817BF">
            <w:pPr>
              <w:jc w:val="center"/>
              <w:rPr>
                <w:rFonts w:ascii="宋体" w:hAnsi="宋体" w:cs="Calibri"/>
                <w:i w:val="0"/>
                <w:iCs w:val="0"/>
                <w:color w:val="auto"/>
                <w:sz w:val="24"/>
                <w:szCs w:val="24"/>
                <w:highlight w:val="none"/>
                <w:u w:val="none"/>
              </w:rPr>
            </w:pPr>
            <w:r>
              <w:rPr>
                <w:rFonts w:ascii="宋体" w:hAnsi="宋体" w:cs="Calibri"/>
                <w:i w:val="0"/>
                <w:iCs w:val="0"/>
                <w:color w:val="auto"/>
                <w:sz w:val="24"/>
                <w:szCs w:val="24"/>
                <w:highlight w:val="none"/>
                <w:u w:val="none"/>
              </w:rPr>
              <w:t>4</w:t>
            </w:r>
          </w:p>
        </w:tc>
        <w:tc>
          <w:tcPr>
            <w:tcW w:w="738" w:type="dxa"/>
            <w:tcBorders>
              <w:top w:val="single" w:color="auto" w:sz="4" w:space="0"/>
              <w:left w:val="single" w:color="auto" w:sz="4" w:space="0"/>
              <w:bottom w:val="single" w:color="auto" w:sz="4" w:space="0"/>
              <w:right w:val="single" w:color="auto" w:sz="4" w:space="0"/>
            </w:tcBorders>
          </w:tcPr>
          <w:p w14:paraId="41F3B46A">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336DFBD7">
            <w:pPr>
              <w:spacing w:line="400" w:lineRule="exact"/>
              <w:rPr>
                <w:rFonts w:ascii="宋体" w:hAnsi="宋体" w:cs="Calibri"/>
                <w:b/>
                <w:i w:val="0"/>
                <w:iCs w:val="0"/>
                <w:color w:val="auto"/>
                <w:sz w:val="24"/>
                <w:szCs w:val="24"/>
                <w:highlight w:val="none"/>
                <w:u w:val="none"/>
              </w:rPr>
            </w:pPr>
          </w:p>
        </w:tc>
      </w:tr>
      <w:tr w14:paraId="31048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277" w:type="dxa"/>
            <w:vMerge w:val="continue"/>
            <w:tcBorders>
              <w:top w:val="nil"/>
              <w:left w:val="single" w:color="auto" w:sz="4" w:space="0"/>
              <w:bottom w:val="single" w:color="auto" w:sz="4" w:space="0"/>
              <w:right w:val="single" w:color="auto" w:sz="4" w:space="0"/>
            </w:tcBorders>
            <w:vAlign w:val="center"/>
          </w:tcPr>
          <w:p w14:paraId="20BC5658">
            <w:pPr>
              <w:widowControl/>
              <w:jc w:val="left"/>
              <w:rPr>
                <w:rFonts w:ascii="宋体" w:hAnsi="宋体" w:cs="Calibri"/>
                <w:b/>
                <w:i w:val="0"/>
                <w:iCs w:val="0"/>
                <w:color w:val="auto"/>
                <w:sz w:val="24"/>
                <w:szCs w:val="24"/>
                <w:highlight w:val="none"/>
                <w:u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3957B04D">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2、熟悉本系统所用消防设施系统的基本原理、功能,熟练掌握操作技术,做好交接班工作,认真填写值班记录,系统运行登记表和控制器日检登记表。</w:t>
            </w:r>
          </w:p>
        </w:tc>
        <w:tc>
          <w:tcPr>
            <w:tcW w:w="1276" w:type="dxa"/>
            <w:tcBorders>
              <w:top w:val="single" w:color="auto" w:sz="4" w:space="0"/>
              <w:left w:val="single" w:color="auto" w:sz="4" w:space="0"/>
              <w:bottom w:val="single" w:color="auto" w:sz="4" w:space="0"/>
              <w:right w:val="single" w:color="auto" w:sz="4" w:space="0"/>
            </w:tcBorders>
            <w:vAlign w:val="center"/>
          </w:tcPr>
          <w:p w14:paraId="7E141E69">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查台帐</w:t>
            </w:r>
          </w:p>
        </w:tc>
        <w:tc>
          <w:tcPr>
            <w:tcW w:w="992" w:type="dxa"/>
            <w:tcBorders>
              <w:top w:val="single" w:color="auto" w:sz="4" w:space="0"/>
              <w:left w:val="single" w:color="auto" w:sz="4" w:space="0"/>
              <w:bottom w:val="single" w:color="auto" w:sz="4" w:space="0"/>
              <w:right w:val="single" w:color="auto" w:sz="4" w:space="0"/>
            </w:tcBorders>
            <w:vAlign w:val="center"/>
          </w:tcPr>
          <w:p w14:paraId="2F402950">
            <w:pPr>
              <w:jc w:val="center"/>
              <w:rPr>
                <w:rFonts w:ascii="宋体" w:hAnsi="宋体" w:cs="Calibri"/>
                <w:i w:val="0"/>
                <w:iCs w:val="0"/>
                <w:color w:val="auto"/>
                <w:sz w:val="24"/>
                <w:szCs w:val="24"/>
                <w:highlight w:val="none"/>
                <w:u w:val="none"/>
              </w:rPr>
            </w:pPr>
            <w:r>
              <w:rPr>
                <w:rFonts w:ascii="宋体" w:hAnsi="宋体" w:cs="Calibri"/>
                <w:i w:val="0"/>
                <w:iCs w:val="0"/>
                <w:color w:val="auto"/>
                <w:sz w:val="24"/>
                <w:szCs w:val="24"/>
                <w:highlight w:val="none"/>
                <w:u w:val="none"/>
              </w:rPr>
              <w:t>4</w:t>
            </w:r>
          </w:p>
          <w:p w14:paraId="35B8F0B3">
            <w:pPr>
              <w:jc w:val="center"/>
              <w:rPr>
                <w:rFonts w:ascii="宋体" w:hAnsi="宋体" w:cs="Calibri"/>
                <w:i w:val="0"/>
                <w:iCs w:val="0"/>
                <w:color w:val="auto"/>
                <w:sz w:val="24"/>
                <w:szCs w:val="24"/>
                <w:highlight w:val="none"/>
                <w:u w:val="none"/>
              </w:rPr>
            </w:pPr>
          </w:p>
        </w:tc>
        <w:tc>
          <w:tcPr>
            <w:tcW w:w="738" w:type="dxa"/>
            <w:tcBorders>
              <w:top w:val="single" w:color="auto" w:sz="4" w:space="0"/>
              <w:left w:val="single" w:color="auto" w:sz="4" w:space="0"/>
              <w:bottom w:val="single" w:color="auto" w:sz="4" w:space="0"/>
              <w:right w:val="single" w:color="auto" w:sz="4" w:space="0"/>
            </w:tcBorders>
          </w:tcPr>
          <w:p w14:paraId="198C632E">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3050CBAF">
            <w:pPr>
              <w:spacing w:line="400" w:lineRule="exact"/>
              <w:rPr>
                <w:rFonts w:ascii="宋体" w:hAnsi="宋体" w:cs="Calibri"/>
                <w:b/>
                <w:i w:val="0"/>
                <w:iCs w:val="0"/>
                <w:color w:val="auto"/>
                <w:sz w:val="24"/>
                <w:szCs w:val="24"/>
                <w:highlight w:val="none"/>
                <w:u w:val="none"/>
              </w:rPr>
            </w:pPr>
          </w:p>
        </w:tc>
      </w:tr>
      <w:tr w14:paraId="2FF54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277" w:type="dxa"/>
            <w:vMerge w:val="continue"/>
            <w:tcBorders>
              <w:top w:val="nil"/>
              <w:left w:val="single" w:color="auto" w:sz="4" w:space="0"/>
              <w:bottom w:val="single" w:color="auto" w:sz="4" w:space="0"/>
              <w:right w:val="single" w:color="auto" w:sz="4" w:space="0"/>
            </w:tcBorders>
            <w:vAlign w:val="center"/>
          </w:tcPr>
          <w:p w14:paraId="451AAF40">
            <w:pPr>
              <w:widowControl/>
              <w:jc w:val="left"/>
              <w:rPr>
                <w:rFonts w:ascii="宋体" w:hAnsi="宋体" w:cs="Calibri"/>
                <w:b/>
                <w:i w:val="0"/>
                <w:iCs w:val="0"/>
                <w:color w:val="auto"/>
                <w:sz w:val="24"/>
                <w:szCs w:val="24"/>
                <w:highlight w:val="none"/>
                <w:u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14E90F30">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3、对消防控制室设备及通讯器材等要进行经常性的检查,定期作好系统功能实验,协助技术人员做好修理、维护工作,不得擅自拆除、挪用或停用,保证设备正常运行。</w:t>
            </w:r>
          </w:p>
        </w:tc>
        <w:tc>
          <w:tcPr>
            <w:tcW w:w="1276" w:type="dxa"/>
            <w:tcBorders>
              <w:top w:val="single" w:color="auto" w:sz="4" w:space="0"/>
              <w:left w:val="single" w:color="auto" w:sz="4" w:space="0"/>
              <w:bottom w:val="single" w:color="auto" w:sz="4" w:space="0"/>
              <w:right w:val="single" w:color="auto" w:sz="4" w:space="0"/>
            </w:tcBorders>
            <w:vAlign w:val="center"/>
          </w:tcPr>
          <w:p w14:paraId="104282FD">
            <w:pPr>
              <w:jc w:val="center"/>
              <w:rPr>
                <w:rFonts w:ascii="宋体" w:hAnsi="宋体" w:cs="Calibri"/>
                <w:i w:val="0"/>
                <w:iCs w:val="0"/>
                <w:color w:val="auto"/>
                <w:sz w:val="24"/>
                <w:szCs w:val="24"/>
                <w:highlight w:val="none"/>
                <w:u w:val="none"/>
              </w:rPr>
            </w:pPr>
            <w:r>
              <w:rPr>
                <w:rFonts w:ascii="宋体" w:hAnsi="宋体" w:cs="Calibri"/>
                <w:i w:val="0"/>
                <w:iCs w:val="0"/>
                <w:color w:val="auto"/>
                <w:sz w:val="24"/>
                <w:szCs w:val="24"/>
                <w:highlight w:val="none"/>
                <w:u w:val="none"/>
              </w:rPr>
              <w:t>现场查看</w:t>
            </w:r>
          </w:p>
        </w:tc>
        <w:tc>
          <w:tcPr>
            <w:tcW w:w="992" w:type="dxa"/>
            <w:tcBorders>
              <w:top w:val="single" w:color="auto" w:sz="4" w:space="0"/>
              <w:left w:val="single" w:color="auto" w:sz="4" w:space="0"/>
              <w:bottom w:val="single" w:color="auto" w:sz="4" w:space="0"/>
              <w:right w:val="single" w:color="auto" w:sz="4" w:space="0"/>
            </w:tcBorders>
            <w:vAlign w:val="center"/>
          </w:tcPr>
          <w:p w14:paraId="7AB3684F">
            <w:pPr>
              <w:jc w:val="center"/>
              <w:rPr>
                <w:rFonts w:ascii="宋体" w:hAnsi="宋体" w:cs="Calibri"/>
                <w:i w:val="0"/>
                <w:iCs w:val="0"/>
                <w:color w:val="auto"/>
                <w:sz w:val="24"/>
                <w:szCs w:val="24"/>
                <w:highlight w:val="none"/>
                <w:u w:val="none"/>
              </w:rPr>
            </w:pPr>
            <w:r>
              <w:rPr>
                <w:rFonts w:ascii="宋体" w:hAnsi="宋体" w:cs="Calibri"/>
                <w:i w:val="0"/>
                <w:iCs w:val="0"/>
                <w:color w:val="auto"/>
                <w:sz w:val="24"/>
                <w:szCs w:val="24"/>
                <w:highlight w:val="none"/>
                <w:u w:val="none"/>
              </w:rPr>
              <w:t>4</w:t>
            </w:r>
          </w:p>
        </w:tc>
        <w:tc>
          <w:tcPr>
            <w:tcW w:w="738" w:type="dxa"/>
            <w:tcBorders>
              <w:top w:val="single" w:color="auto" w:sz="4" w:space="0"/>
              <w:left w:val="single" w:color="auto" w:sz="4" w:space="0"/>
              <w:bottom w:val="single" w:color="auto" w:sz="4" w:space="0"/>
              <w:right w:val="single" w:color="auto" w:sz="4" w:space="0"/>
            </w:tcBorders>
          </w:tcPr>
          <w:p w14:paraId="6ED8D87B">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36A6868F">
            <w:pPr>
              <w:spacing w:line="400" w:lineRule="exact"/>
              <w:rPr>
                <w:rFonts w:ascii="宋体" w:hAnsi="宋体" w:cs="Calibri"/>
                <w:b/>
                <w:i w:val="0"/>
                <w:iCs w:val="0"/>
                <w:color w:val="auto"/>
                <w:sz w:val="24"/>
                <w:szCs w:val="24"/>
                <w:highlight w:val="none"/>
                <w:u w:val="none"/>
              </w:rPr>
            </w:pPr>
          </w:p>
        </w:tc>
      </w:tr>
      <w:tr w14:paraId="370E9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277" w:type="dxa"/>
            <w:vMerge w:val="continue"/>
            <w:tcBorders>
              <w:top w:val="nil"/>
              <w:left w:val="single" w:color="auto" w:sz="4" w:space="0"/>
              <w:bottom w:val="single" w:color="auto" w:sz="4" w:space="0"/>
              <w:right w:val="single" w:color="auto" w:sz="4" w:space="0"/>
            </w:tcBorders>
            <w:vAlign w:val="center"/>
          </w:tcPr>
          <w:p w14:paraId="3395ED6D">
            <w:pPr>
              <w:widowControl/>
              <w:jc w:val="left"/>
              <w:rPr>
                <w:rFonts w:ascii="宋体" w:hAnsi="宋体" w:cs="Calibri"/>
                <w:b/>
                <w:i w:val="0"/>
                <w:iCs w:val="0"/>
                <w:color w:val="auto"/>
                <w:sz w:val="24"/>
                <w:szCs w:val="24"/>
                <w:highlight w:val="none"/>
                <w:u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0E240D3C">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4、熟悉本单位火灾事故处理程序，按时向负责人和保卫部门报告建筑消防设施的运行情况,协助有关领导做好防火、灭火工作。</w:t>
            </w:r>
          </w:p>
        </w:tc>
        <w:tc>
          <w:tcPr>
            <w:tcW w:w="1276" w:type="dxa"/>
            <w:tcBorders>
              <w:top w:val="single" w:color="auto" w:sz="4" w:space="0"/>
              <w:left w:val="single" w:color="auto" w:sz="4" w:space="0"/>
              <w:bottom w:val="single" w:color="auto" w:sz="4" w:space="0"/>
              <w:right w:val="single" w:color="auto" w:sz="4" w:space="0"/>
            </w:tcBorders>
            <w:vAlign w:val="center"/>
          </w:tcPr>
          <w:p w14:paraId="646D47D3">
            <w:pPr>
              <w:jc w:val="center"/>
              <w:rPr>
                <w:rFonts w:ascii="宋体" w:hAnsi="宋体" w:cs="Calibri"/>
                <w:i w:val="0"/>
                <w:iCs w:val="0"/>
                <w:color w:val="auto"/>
                <w:sz w:val="24"/>
                <w:szCs w:val="24"/>
                <w:highlight w:val="none"/>
                <w:u w:val="none"/>
              </w:rPr>
            </w:pPr>
            <w:r>
              <w:rPr>
                <w:rFonts w:ascii="宋体" w:hAnsi="宋体" w:cs="Calibri"/>
                <w:i w:val="0"/>
                <w:iCs w:val="0"/>
                <w:color w:val="auto"/>
                <w:sz w:val="24"/>
                <w:szCs w:val="24"/>
                <w:highlight w:val="none"/>
                <w:u w:val="none"/>
              </w:rPr>
              <w:t>现场查看</w:t>
            </w:r>
          </w:p>
          <w:p w14:paraId="48550C6B">
            <w:pPr>
              <w:jc w:val="center"/>
              <w:rPr>
                <w:rFonts w:ascii="宋体" w:hAnsi="宋体" w:cs="Calibri"/>
                <w:i w:val="0"/>
                <w:iCs w:val="0"/>
                <w:color w:val="auto"/>
                <w:sz w:val="24"/>
                <w:szCs w:val="24"/>
                <w:highlight w:val="none"/>
                <w:u w:val="none"/>
              </w:rPr>
            </w:pPr>
            <w:r>
              <w:rPr>
                <w:rFonts w:ascii="宋体" w:hAnsi="宋体" w:cs="Calibri"/>
                <w:i w:val="0"/>
                <w:iCs w:val="0"/>
                <w:color w:val="auto"/>
                <w:sz w:val="24"/>
                <w:szCs w:val="24"/>
                <w:highlight w:val="none"/>
                <w:u w:val="none"/>
              </w:rPr>
              <w:t>查台帐</w:t>
            </w:r>
          </w:p>
        </w:tc>
        <w:tc>
          <w:tcPr>
            <w:tcW w:w="992" w:type="dxa"/>
            <w:tcBorders>
              <w:top w:val="single" w:color="auto" w:sz="4" w:space="0"/>
              <w:left w:val="single" w:color="auto" w:sz="4" w:space="0"/>
              <w:bottom w:val="single" w:color="auto" w:sz="4" w:space="0"/>
              <w:right w:val="single" w:color="auto" w:sz="4" w:space="0"/>
            </w:tcBorders>
            <w:vAlign w:val="center"/>
          </w:tcPr>
          <w:p w14:paraId="7B4199D4">
            <w:pPr>
              <w:jc w:val="center"/>
              <w:rPr>
                <w:rFonts w:ascii="宋体" w:hAnsi="宋体" w:cs="Calibri"/>
                <w:i w:val="0"/>
                <w:iCs w:val="0"/>
                <w:color w:val="auto"/>
                <w:sz w:val="24"/>
                <w:szCs w:val="24"/>
                <w:highlight w:val="none"/>
                <w:u w:val="none"/>
              </w:rPr>
            </w:pPr>
            <w:r>
              <w:rPr>
                <w:rFonts w:ascii="宋体" w:hAnsi="宋体" w:cs="Calibri"/>
                <w:i w:val="0"/>
                <w:iCs w:val="0"/>
                <w:color w:val="auto"/>
                <w:sz w:val="24"/>
                <w:szCs w:val="24"/>
                <w:highlight w:val="none"/>
                <w:u w:val="none"/>
              </w:rPr>
              <w:t>4</w:t>
            </w:r>
          </w:p>
        </w:tc>
        <w:tc>
          <w:tcPr>
            <w:tcW w:w="738" w:type="dxa"/>
            <w:tcBorders>
              <w:top w:val="single" w:color="auto" w:sz="4" w:space="0"/>
              <w:left w:val="single" w:color="auto" w:sz="4" w:space="0"/>
              <w:bottom w:val="single" w:color="auto" w:sz="4" w:space="0"/>
              <w:right w:val="single" w:color="auto" w:sz="4" w:space="0"/>
            </w:tcBorders>
          </w:tcPr>
          <w:p w14:paraId="09E0B811">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17C59236">
            <w:pPr>
              <w:spacing w:line="400" w:lineRule="exact"/>
              <w:rPr>
                <w:rFonts w:ascii="宋体" w:hAnsi="宋体" w:cs="Calibri"/>
                <w:b/>
                <w:i w:val="0"/>
                <w:iCs w:val="0"/>
                <w:color w:val="auto"/>
                <w:sz w:val="24"/>
                <w:szCs w:val="24"/>
                <w:highlight w:val="none"/>
                <w:u w:val="none"/>
              </w:rPr>
            </w:pPr>
          </w:p>
        </w:tc>
      </w:tr>
      <w:tr w14:paraId="5F985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277" w:type="dxa"/>
            <w:vMerge w:val="continue"/>
            <w:tcBorders>
              <w:top w:val="nil"/>
              <w:left w:val="single" w:color="auto" w:sz="4" w:space="0"/>
              <w:bottom w:val="single" w:color="auto" w:sz="4" w:space="0"/>
              <w:right w:val="single" w:color="auto" w:sz="4" w:space="0"/>
            </w:tcBorders>
            <w:vAlign w:val="center"/>
          </w:tcPr>
          <w:p w14:paraId="319C4DA5">
            <w:pPr>
              <w:widowControl/>
              <w:jc w:val="left"/>
              <w:rPr>
                <w:rFonts w:ascii="宋体" w:hAnsi="宋体" w:cs="Calibri"/>
                <w:b/>
                <w:i w:val="0"/>
                <w:iCs w:val="0"/>
                <w:color w:val="auto"/>
                <w:sz w:val="24"/>
                <w:szCs w:val="24"/>
                <w:highlight w:val="none"/>
                <w:u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25C23A15">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5、确认发生火灾后,要立即直拨119报警,不得迟报和不报,并及时、准确启动有关消防设备,正确有效地组织扑救及人员疏散，按校区应急程序向有关人员汇报。</w:t>
            </w:r>
          </w:p>
        </w:tc>
        <w:tc>
          <w:tcPr>
            <w:tcW w:w="1276" w:type="dxa"/>
            <w:tcBorders>
              <w:top w:val="single" w:color="auto" w:sz="4" w:space="0"/>
              <w:left w:val="single" w:color="auto" w:sz="4" w:space="0"/>
              <w:bottom w:val="single" w:color="auto" w:sz="4" w:space="0"/>
              <w:right w:val="single" w:color="auto" w:sz="4" w:space="0"/>
            </w:tcBorders>
            <w:vAlign w:val="center"/>
          </w:tcPr>
          <w:p w14:paraId="080ABA13">
            <w:pPr>
              <w:jc w:val="center"/>
              <w:rPr>
                <w:rFonts w:ascii="宋体" w:hAnsi="宋体" w:cs="Calibri"/>
                <w:i w:val="0"/>
                <w:iCs w:val="0"/>
                <w:color w:val="auto"/>
                <w:sz w:val="24"/>
                <w:szCs w:val="24"/>
                <w:highlight w:val="none"/>
                <w:u w:val="none"/>
              </w:rPr>
            </w:pPr>
            <w:r>
              <w:rPr>
                <w:rFonts w:ascii="宋体" w:hAnsi="宋体" w:cs="Calibri"/>
                <w:i w:val="0"/>
                <w:iCs w:val="0"/>
                <w:color w:val="auto"/>
                <w:sz w:val="24"/>
                <w:szCs w:val="24"/>
                <w:highlight w:val="none"/>
                <w:u w:val="none"/>
              </w:rPr>
              <w:t>现场查看</w:t>
            </w:r>
          </w:p>
        </w:tc>
        <w:tc>
          <w:tcPr>
            <w:tcW w:w="992" w:type="dxa"/>
            <w:tcBorders>
              <w:top w:val="single" w:color="auto" w:sz="4" w:space="0"/>
              <w:left w:val="single" w:color="auto" w:sz="4" w:space="0"/>
              <w:bottom w:val="single" w:color="auto" w:sz="4" w:space="0"/>
              <w:right w:val="single" w:color="auto" w:sz="4" w:space="0"/>
            </w:tcBorders>
            <w:vAlign w:val="center"/>
          </w:tcPr>
          <w:p w14:paraId="548B4892">
            <w:pPr>
              <w:jc w:val="center"/>
              <w:rPr>
                <w:rFonts w:ascii="宋体" w:hAnsi="宋体" w:cs="Calibri"/>
                <w:i w:val="0"/>
                <w:iCs w:val="0"/>
                <w:color w:val="auto"/>
                <w:sz w:val="24"/>
                <w:szCs w:val="24"/>
                <w:highlight w:val="none"/>
                <w:u w:val="none"/>
              </w:rPr>
            </w:pPr>
            <w:r>
              <w:rPr>
                <w:rFonts w:ascii="宋体" w:hAnsi="宋体" w:cs="Calibri"/>
                <w:i w:val="0"/>
                <w:iCs w:val="0"/>
                <w:color w:val="auto"/>
                <w:sz w:val="24"/>
                <w:szCs w:val="24"/>
                <w:highlight w:val="none"/>
                <w:u w:val="none"/>
              </w:rPr>
              <w:t>4</w:t>
            </w:r>
          </w:p>
        </w:tc>
        <w:tc>
          <w:tcPr>
            <w:tcW w:w="738" w:type="dxa"/>
            <w:tcBorders>
              <w:top w:val="single" w:color="auto" w:sz="4" w:space="0"/>
              <w:left w:val="single" w:color="auto" w:sz="4" w:space="0"/>
              <w:bottom w:val="single" w:color="auto" w:sz="4" w:space="0"/>
              <w:right w:val="single" w:color="auto" w:sz="4" w:space="0"/>
            </w:tcBorders>
          </w:tcPr>
          <w:p w14:paraId="561457EE">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407631A2">
            <w:pPr>
              <w:spacing w:line="400" w:lineRule="exact"/>
              <w:rPr>
                <w:rFonts w:ascii="宋体" w:hAnsi="宋体" w:cs="Calibri"/>
                <w:b/>
                <w:i w:val="0"/>
                <w:iCs w:val="0"/>
                <w:color w:val="auto"/>
                <w:sz w:val="24"/>
                <w:szCs w:val="24"/>
                <w:highlight w:val="none"/>
                <w:u w:val="none"/>
              </w:rPr>
            </w:pPr>
          </w:p>
        </w:tc>
      </w:tr>
      <w:tr w14:paraId="7D4D7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277" w:type="dxa"/>
            <w:vMerge w:val="continue"/>
            <w:tcBorders>
              <w:top w:val="nil"/>
              <w:left w:val="single" w:color="auto" w:sz="4" w:space="0"/>
              <w:bottom w:val="single" w:color="auto" w:sz="4" w:space="0"/>
              <w:right w:val="single" w:color="auto" w:sz="4" w:space="0"/>
            </w:tcBorders>
            <w:vAlign w:val="center"/>
          </w:tcPr>
          <w:p w14:paraId="36D4F81B">
            <w:pPr>
              <w:widowControl/>
              <w:jc w:val="left"/>
              <w:rPr>
                <w:rFonts w:ascii="宋体" w:hAnsi="宋体" w:cs="Calibri"/>
                <w:b/>
                <w:i w:val="0"/>
                <w:iCs w:val="0"/>
                <w:color w:val="auto"/>
                <w:sz w:val="24"/>
                <w:szCs w:val="24"/>
                <w:highlight w:val="none"/>
                <w:u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0E56F3AC">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6、要积极宣传贯彻消防法规、遵守防火安全管理制度,以高度的责任感去完成各项技术工作和日常管理工作。</w:t>
            </w:r>
          </w:p>
        </w:tc>
        <w:tc>
          <w:tcPr>
            <w:tcW w:w="1276" w:type="dxa"/>
            <w:tcBorders>
              <w:top w:val="single" w:color="auto" w:sz="4" w:space="0"/>
              <w:left w:val="single" w:color="auto" w:sz="4" w:space="0"/>
              <w:bottom w:val="single" w:color="auto" w:sz="4" w:space="0"/>
              <w:right w:val="single" w:color="auto" w:sz="4" w:space="0"/>
            </w:tcBorders>
            <w:vAlign w:val="center"/>
          </w:tcPr>
          <w:p w14:paraId="3B045413">
            <w:pPr>
              <w:jc w:val="center"/>
              <w:rPr>
                <w:rFonts w:ascii="宋体" w:hAnsi="宋体" w:cs="Calibri"/>
                <w:i w:val="0"/>
                <w:iCs w:val="0"/>
                <w:color w:val="auto"/>
                <w:sz w:val="24"/>
                <w:szCs w:val="24"/>
                <w:highlight w:val="none"/>
                <w:u w:val="none"/>
              </w:rPr>
            </w:pPr>
            <w:r>
              <w:rPr>
                <w:rFonts w:ascii="宋体" w:hAnsi="宋体" w:cs="Calibri"/>
                <w:i w:val="0"/>
                <w:iCs w:val="0"/>
                <w:color w:val="auto"/>
                <w:sz w:val="24"/>
                <w:szCs w:val="24"/>
                <w:highlight w:val="none"/>
                <w:u w:val="none"/>
              </w:rPr>
              <w:t>现场查看</w:t>
            </w:r>
          </w:p>
        </w:tc>
        <w:tc>
          <w:tcPr>
            <w:tcW w:w="992" w:type="dxa"/>
            <w:tcBorders>
              <w:top w:val="single" w:color="auto" w:sz="4" w:space="0"/>
              <w:left w:val="single" w:color="auto" w:sz="4" w:space="0"/>
              <w:bottom w:val="single" w:color="auto" w:sz="4" w:space="0"/>
              <w:right w:val="single" w:color="auto" w:sz="4" w:space="0"/>
            </w:tcBorders>
            <w:vAlign w:val="center"/>
          </w:tcPr>
          <w:p w14:paraId="73264E52">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3</w:t>
            </w:r>
          </w:p>
        </w:tc>
        <w:tc>
          <w:tcPr>
            <w:tcW w:w="738" w:type="dxa"/>
            <w:tcBorders>
              <w:top w:val="single" w:color="auto" w:sz="4" w:space="0"/>
              <w:left w:val="single" w:color="auto" w:sz="4" w:space="0"/>
              <w:bottom w:val="single" w:color="auto" w:sz="4" w:space="0"/>
              <w:right w:val="single" w:color="auto" w:sz="4" w:space="0"/>
            </w:tcBorders>
          </w:tcPr>
          <w:p w14:paraId="07519C34">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74DA065A">
            <w:pPr>
              <w:spacing w:line="400" w:lineRule="exact"/>
              <w:rPr>
                <w:rFonts w:ascii="宋体" w:hAnsi="宋体" w:cs="Calibri"/>
                <w:b/>
                <w:i w:val="0"/>
                <w:iCs w:val="0"/>
                <w:color w:val="auto"/>
                <w:sz w:val="24"/>
                <w:szCs w:val="24"/>
                <w:highlight w:val="none"/>
                <w:u w:val="none"/>
              </w:rPr>
            </w:pPr>
          </w:p>
        </w:tc>
      </w:tr>
      <w:tr w14:paraId="1730B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277" w:type="dxa"/>
            <w:vMerge w:val="continue"/>
            <w:tcBorders>
              <w:top w:val="nil"/>
              <w:left w:val="single" w:color="auto" w:sz="4" w:space="0"/>
              <w:bottom w:val="single" w:color="auto" w:sz="4" w:space="0"/>
              <w:right w:val="single" w:color="auto" w:sz="4" w:space="0"/>
            </w:tcBorders>
            <w:vAlign w:val="center"/>
          </w:tcPr>
          <w:p w14:paraId="5279388F">
            <w:pPr>
              <w:widowControl/>
              <w:jc w:val="left"/>
              <w:rPr>
                <w:rFonts w:ascii="宋体" w:hAnsi="宋体" w:cs="Calibri"/>
                <w:b/>
                <w:i w:val="0"/>
                <w:iCs w:val="0"/>
                <w:color w:val="auto"/>
                <w:sz w:val="24"/>
                <w:szCs w:val="24"/>
                <w:highlight w:val="none"/>
                <w:u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64554505">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7、完成消防部门和上级领导布置的工作任务,积极参加消防专业培训,自觉接爱消防部门的检查。</w:t>
            </w:r>
          </w:p>
        </w:tc>
        <w:tc>
          <w:tcPr>
            <w:tcW w:w="1276" w:type="dxa"/>
            <w:tcBorders>
              <w:top w:val="single" w:color="auto" w:sz="4" w:space="0"/>
              <w:left w:val="single" w:color="auto" w:sz="4" w:space="0"/>
              <w:bottom w:val="single" w:color="auto" w:sz="4" w:space="0"/>
              <w:right w:val="single" w:color="auto" w:sz="4" w:space="0"/>
            </w:tcBorders>
            <w:vAlign w:val="center"/>
          </w:tcPr>
          <w:p w14:paraId="6A0E2DDD">
            <w:pPr>
              <w:jc w:val="center"/>
              <w:rPr>
                <w:rFonts w:ascii="宋体" w:hAnsi="宋体" w:cs="Calibri"/>
                <w:i w:val="0"/>
                <w:iCs w:val="0"/>
                <w:color w:val="auto"/>
                <w:sz w:val="24"/>
                <w:szCs w:val="24"/>
                <w:highlight w:val="none"/>
                <w:u w:val="none"/>
              </w:rPr>
            </w:pPr>
            <w:r>
              <w:rPr>
                <w:rFonts w:ascii="宋体" w:hAnsi="宋体" w:cs="Calibri"/>
                <w:i w:val="0"/>
                <w:iCs w:val="0"/>
                <w:color w:val="auto"/>
                <w:sz w:val="24"/>
                <w:szCs w:val="24"/>
                <w:highlight w:val="none"/>
                <w:u w:val="none"/>
              </w:rPr>
              <w:t>现场查看</w:t>
            </w:r>
          </w:p>
          <w:p w14:paraId="69F8A775">
            <w:pPr>
              <w:jc w:val="center"/>
              <w:rPr>
                <w:rFonts w:ascii="宋体" w:hAnsi="宋体" w:cs="Calibri"/>
                <w:b/>
                <w:i w:val="0"/>
                <w:iCs w:val="0"/>
                <w:color w:val="auto"/>
                <w:sz w:val="24"/>
                <w:szCs w:val="24"/>
                <w:highlight w:val="none"/>
                <w:u w:val="none"/>
              </w:rPr>
            </w:pPr>
            <w:r>
              <w:rPr>
                <w:rFonts w:hint="eastAsia" w:ascii="宋体" w:hAnsi="宋体" w:cs="Calibri"/>
                <w:i w:val="0"/>
                <w:iCs w:val="0"/>
                <w:color w:val="auto"/>
                <w:sz w:val="24"/>
                <w:szCs w:val="24"/>
                <w:highlight w:val="none"/>
                <w:u w:val="none"/>
              </w:rPr>
              <w:t>查台帐</w:t>
            </w:r>
          </w:p>
        </w:tc>
        <w:tc>
          <w:tcPr>
            <w:tcW w:w="992" w:type="dxa"/>
            <w:tcBorders>
              <w:top w:val="single" w:color="auto" w:sz="4" w:space="0"/>
              <w:left w:val="single" w:color="auto" w:sz="4" w:space="0"/>
              <w:bottom w:val="single" w:color="auto" w:sz="4" w:space="0"/>
              <w:right w:val="single" w:color="auto" w:sz="4" w:space="0"/>
            </w:tcBorders>
            <w:vAlign w:val="center"/>
          </w:tcPr>
          <w:p w14:paraId="46106C17">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4</w:t>
            </w:r>
          </w:p>
        </w:tc>
        <w:tc>
          <w:tcPr>
            <w:tcW w:w="738" w:type="dxa"/>
            <w:tcBorders>
              <w:top w:val="single" w:color="auto" w:sz="4" w:space="0"/>
              <w:left w:val="single" w:color="auto" w:sz="4" w:space="0"/>
              <w:bottom w:val="single" w:color="auto" w:sz="4" w:space="0"/>
              <w:right w:val="single" w:color="auto" w:sz="4" w:space="0"/>
            </w:tcBorders>
          </w:tcPr>
          <w:p w14:paraId="44466432">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6A2283F9">
            <w:pPr>
              <w:spacing w:line="400" w:lineRule="exact"/>
              <w:rPr>
                <w:rFonts w:ascii="宋体" w:hAnsi="宋体" w:cs="Calibri"/>
                <w:b/>
                <w:i w:val="0"/>
                <w:iCs w:val="0"/>
                <w:color w:val="auto"/>
                <w:sz w:val="24"/>
                <w:szCs w:val="24"/>
                <w:highlight w:val="none"/>
                <w:u w:val="none"/>
              </w:rPr>
            </w:pPr>
          </w:p>
        </w:tc>
      </w:tr>
      <w:tr w14:paraId="40AD6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277" w:type="dxa"/>
            <w:vMerge w:val="continue"/>
            <w:tcBorders>
              <w:top w:val="nil"/>
              <w:left w:val="single" w:color="auto" w:sz="4" w:space="0"/>
              <w:bottom w:val="single" w:color="auto" w:sz="4" w:space="0"/>
              <w:right w:val="single" w:color="auto" w:sz="4" w:space="0"/>
            </w:tcBorders>
            <w:vAlign w:val="center"/>
          </w:tcPr>
          <w:p w14:paraId="0DA9081F">
            <w:pPr>
              <w:widowControl/>
              <w:jc w:val="left"/>
              <w:rPr>
                <w:rFonts w:ascii="宋体" w:hAnsi="宋体" w:cs="Calibri"/>
                <w:b/>
                <w:i w:val="0"/>
                <w:iCs w:val="0"/>
                <w:color w:val="auto"/>
                <w:sz w:val="24"/>
                <w:szCs w:val="24"/>
                <w:highlight w:val="none"/>
                <w:u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3B4AC4DF">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8、完成校区保卫科交办的其他任务。</w:t>
            </w:r>
          </w:p>
        </w:tc>
        <w:tc>
          <w:tcPr>
            <w:tcW w:w="1276" w:type="dxa"/>
            <w:tcBorders>
              <w:top w:val="single" w:color="auto" w:sz="4" w:space="0"/>
              <w:left w:val="single" w:color="auto" w:sz="4" w:space="0"/>
              <w:bottom w:val="single" w:color="auto" w:sz="4" w:space="0"/>
              <w:right w:val="single" w:color="auto" w:sz="4" w:space="0"/>
            </w:tcBorders>
            <w:vAlign w:val="center"/>
          </w:tcPr>
          <w:p w14:paraId="79FABE32">
            <w:pPr>
              <w:jc w:val="center"/>
              <w:rPr>
                <w:rFonts w:ascii="宋体" w:hAnsi="宋体" w:cs="Calibri"/>
                <w:b/>
                <w:i w:val="0"/>
                <w:iCs w:val="0"/>
                <w:color w:val="auto"/>
                <w:sz w:val="24"/>
                <w:szCs w:val="24"/>
                <w:highlight w:val="none"/>
                <w:u w:val="none"/>
              </w:rPr>
            </w:pPr>
            <w:r>
              <w:rPr>
                <w:rFonts w:hint="eastAsia" w:ascii="宋体" w:hAnsi="宋体" w:cs="Calibri"/>
                <w:i w:val="0"/>
                <w:iCs w:val="0"/>
                <w:color w:val="auto"/>
                <w:sz w:val="24"/>
                <w:szCs w:val="24"/>
                <w:highlight w:val="none"/>
                <w:u w:val="none"/>
              </w:rPr>
              <w:t>听汇报</w:t>
            </w:r>
          </w:p>
        </w:tc>
        <w:tc>
          <w:tcPr>
            <w:tcW w:w="992" w:type="dxa"/>
            <w:tcBorders>
              <w:top w:val="single" w:color="auto" w:sz="4" w:space="0"/>
              <w:left w:val="single" w:color="auto" w:sz="4" w:space="0"/>
              <w:bottom w:val="single" w:color="auto" w:sz="4" w:space="0"/>
              <w:right w:val="single" w:color="auto" w:sz="4" w:space="0"/>
            </w:tcBorders>
            <w:vAlign w:val="center"/>
          </w:tcPr>
          <w:p w14:paraId="62A088A7">
            <w:pPr>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3</w:t>
            </w:r>
          </w:p>
        </w:tc>
        <w:tc>
          <w:tcPr>
            <w:tcW w:w="738" w:type="dxa"/>
            <w:tcBorders>
              <w:top w:val="single" w:color="auto" w:sz="4" w:space="0"/>
              <w:left w:val="single" w:color="auto" w:sz="4" w:space="0"/>
              <w:bottom w:val="single" w:color="auto" w:sz="4" w:space="0"/>
              <w:right w:val="single" w:color="auto" w:sz="4" w:space="0"/>
            </w:tcBorders>
          </w:tcPr>
          <w:p w14:paraId="7F93579C">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7E84DA6A">
            <w:pPr>
              <w:spacing w:line="400" w:lineRule="exact"/>
              <w:rPr>
                <w:rFonts w:ascii="宋体" w:hAnsi="宋体" w:cs="Calibri"/>
                <w:b/>
                <w:i w:val="0"/>
                <w:iCs w:val="0"/>
                <w:color w:val="auto"/>
                <w:sz w:val="24"/>
                <w:szCs w:val="24"/>
                <w:highlight w:val="none"/>
                <w:u w:val="none"/>
              </w:rPr>
            </w:pPr>
          </w:p>
        </w:tc>
      </w:tr>
      <w:tr w14:paraId="25BE2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277" w:type="dxa"/>
            <w:vMerge w:val="restart"/>
            <w:tcBorders>
              <w:top w:val="nil"/>
              <w:left w:val="single" w:color="auto" w:sz="4" w:space="0"/>
              <w:bottom w:val="single" w:color="auto" w:sz="4" w:space="0"/>
              <w:right w:val="single" w:color="auto" w:sz="4" w:space="0"/>
            </w:tcBorders>
            <w:vAlign w:val="center"/>
          </w:tcPr>
          <w:p w14:paraId="414EE456">
            <w:pPr>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内</w:t>
            </w:r>
          </w:p>
          <w:p w14:paraId="027B004E">
            <w:pPr>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部</w:t>
            </w:r>
          </w:p>
          <w:p w14:paraId="7376F77B">
            <w:pPr>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管</w:t>
            </w:r>
          </w:p>
          <w:p w14:paraId="41A61910">
            <w:pPr>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理</w:t>
            </w:r>
          </w:p>
          <w:p w14:paraId="128DAA83">
            <w:pPr>
              <w:spacing w:line="400" w:lineRule="exact"/>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w:t>
            </w:r>
            <w:r>
              <w:rPr>
                <w:rFonts w:ascii="宋体" w:hAnsi="宋体" w:cs="Calibri"/>
                <w:b/>
                <w:i w:val="0"/>
                <w:iCs w:val="0"/>
                <w:color w:val="auto"/>
                <w:sz w:val="24"/>
                <w:szCs w:val="24"/>
                <w:highlight w:val="none"/>
                <w:u w:val="none"/>
              </w:rPr>
              <w:t>10</w:t>
            </w:r>
            <w:r>
              <w:rPr>
                <w:rFonts w:hint="eastAsia" w:ascii="宋体" w:hAnsi="宋体" w:cs="Calibri"/>
                <w:b/>
                <w:i w:val="0"/>
                <w:iCs w:val="0"/>
                <w:color w:val="auto"/>
                <w:sz w:val="24"/>
                <w:szCs w:val="24"/>
                <w:highlight w:val="none"/>
                <w:u w:val="none"/>
              </w:rPr>
              <w:t>分）</w:t>
            </w:r>
          </w:p>
        </w:tc>
        <w:tc>
          <w:tcPr>
            <w:tcW w:w="4252" w:type="dxa"/>
            <w:tcBorders>
              <w:top w:val="single" w:color="auto" w:sz="4" w:space="0"/>
              <w:left w:val="single" w:color="auto" w:sz="4" w:space="0"/>
              <w:bottom w:val="single" w:color="auto" w:sz="4" w:space="0"/>
              <w:right w:val="single" w:color="auto" w:sz="4" w:space="0"/>
            </w:tcBorders>
          </w:tcPr>
          <w:p w14:paraId="7EB0E4B5">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1、管理人员配备齐全、不缺勤、不脱岗、挂牌上岗，持证上岗，态度谦和、主动热情，杜绝争吵现象。</w:t>
            </w:r>
          </w:p>
        </w:tc>
        <w:tc>
          <w:tcPr>
            <w:tcW w:w="1276" w:type="dxa"/>
            <w:tcBorders>
              <w:top w:val="single" w:color="auto" w:sz="4" w:space="0"/>
              <w:left w:val="single" w:color="auto" w:sz="4" w:space="0"/>
              <w:bottom w:val="single" w:color="auto" w:sz="4" w:space="0"/>
              <w:right w:val="single" w:color="auto" w:sz="4" w:space="0"/>
            </w:tcBorders>
            <w:vAlign w:val="center"/>
          </w:tcPr>
          <w:p w14:paraId="3D3255B1">
            <w:pPr>
              <w:ind w:left="120" w:hanging="120" w:hangingChars="50"/>
              <w:jc w:val="center"/>
              <w:rPr>
                <w:rFonts w:ascii="宋体" w:hAnsi="宋体" w:cs="Calibri"/>
                <w:i w:val="0"/>
                <w:iCs w:val="0"/>
                <w:color w:val="auto"/>
                <w:sz w:val="24"/>
                <w:szCs w:val="24"/>
                <w:highlight w:val="none"/>
                <w:u w:val="none"/>
              </w:rPr>
            </w:pPr>
            <w:r>
              <w:rPr>
                <w:rFonts w:ascii="宋体" w:hAnsi="宋体" w:cs="Calibri"/>
                <w:i w:val="0"/>
                <w:iCs w:val="0"/>
                <w:color w:val="auto"/>
                <w:sz w:val="24"/>
                <w:szCs w:val="24"/>
                <w:highlight w:val="none"/>
                <w:u w:val="none"/>
              </w:rPr>
              <w:t>现场查</w:t>
            </w:r>
            <w:r>
              <w:rPr>
                <w:rFonts w:hint="eastAsia" w:ascii="宋体" w:hAnsi="宋体" w:cs="Calibri"/>
                <w:i w:val="0"/>
                <w:iCs w:val="0"/>
                <w:color w:val="auto"/>
                <w:sz w:val="24"/>
                <w:szCs w:val="24"/>
                <w:highlight w:val="none"/>
                <w:u w:val="none"/>
              </w:rPr>
              <w:t>看</w:t>
            </w:r>
          </w:p>
          <w:p w14:paraId="782EE686">
            <w:pPr>
              <w:ind w:left="120" w:hanging="120" w:hangingChars="50"/>
              <w:jc w:val="cente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收集反映</w:t>
            </w:r>
          </w:p>
        </w:tc>
        <w:tc>
          <w:tcPr>
            <w:tcW w:w="992" w:type="dxa"/>
            <w:tcBorders>
              <w:top w:val="single" w:color="auto" w:sz="4" w:space="0"/>
              <w:left w:val="single" w:color="auto" w:sz="4" w:space="0"/>
              <w:bottom w:val="single" w:color="auto" w:sz="4" w:space="0"/>
              <w:right w:val="single" w:color="auto" w:sz="4" w:space="0"/>
            </w:tcBorders>
            <w:vAlign w:val="center"/>
          </w:tcPr>
          <w:p w14:paraId="33BF24FB">
            <w:pPr>
              <w:ind w:firstLine="360" w:firstLineChars="150"/>
              <w:rPr>
                <w:rFonts w:ascii="宋体" w:hAnsi="宋体" w:cs="Calibri"/>
                <w:i w:val="0"/>
                <w:iCs w:val="0"/>
                <w:color w:val="auto"/>
                <w:sz w:val="24"/>
                <w:szCs w:val="24"/>
                <w:highlight w:val="none"/>
                <w:u w:val="none"/>
              </w:rPr>
            </w:pPr>
            <w:r>
              <w:rPr>
                <w:rFonts w:ascii="宋体" w:hAnsi="宋体" w:cs="Calibri"/>
                <w:i w:val="0"/>
                <w:iCs w:val="0"/>
                <w:color w:val="auto"/>
                <w:sz w:val="24"/>
                <w:szCs w:val="24"/>
                <w:highlight w:val="none"/>
                <w:u w:val="none"/>
              </w:rPr>
              <w:t>6</w:t>
            </w:r>
          </w:p>
        </w:tc>
        <w:tc>
          <w:tcPr>
            <w:tcW w:w="738" w:type="dxa"/>
            <w:tcBorders>
              <w:top w:val="single" w:color="auto" w:sz="4" w:space="0"/>
              <w:left w:val="single" w:color="auto" w:sz="4" w:space="0"/>
              <w:bottom w:val="single" w:color="auto" w:sz="4" w:space="0"/>
              <w:right w:val="single" w:color="auto" w:sz="4" w:space="0"/>
            </w:tcBorders>
          </w:tcPr>
          <w:p w14:paraId="077964B8">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62B2AF84">
            <w:pPr>
              <w:spacing w:line="400" w:lineRule="exact"/>
              <w:rPr>
                <w:rFonts w:ascii="宋体" w:hAnsi="宋体" w:cs="Calibri"/>
                <w:b/>
                <w:i w:val="0"/>
                <w:iCs w:val="0"/>
                <w:color w:val="auto"/>
                <w:sz w:val="24"/>
                <w:szCs w:val="24"/>
                <w:highlight w:val="none"/>
                <w:u w:val="none"/>
              </w:rPr>
            </w:pPr>
          </w:p>
        </w:tc>
      </w:tr>
      <w:tr w14:paraId="41A59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277" w:type="dxa"/>
            <w:vMerge w:val="continue"/>
            <w:tcBorders>
              <w:top w:val="nil"/>
              <w:left w:val="single" w:color="auto" w:sz="4" w:space="0"/>
              <w:bottom w:val="single" w:color="auto" w:sz="4" w:space="0"/>
              <w:right w:val="single" w:color="auto" w:sz="4" w:space="0"/>
            </w:tcBorders>
            <w:vAlign w:val="center"/>
          </w:tcPr>
          <w:p w14:paraId="60690095">
            <w:pPr>
              <w:widowControl/>
              <w:jc w:val="left"/>
              <w:rPr>
                <w:rFonts w:ascii="宋体" w:hAnsi="宋体" w:cs="Calibri"/>
                <w:b/>
                <w:i w:val="0"/>
                <w:iCs w:val="0"/>
                <w:color w:val="auto"/>
                <w:sz w:val="24"/>
                <w:szCs w:val="24"/>
                <w:highlight w:val="none"/>
                <w:u w:val="none"/>
              </w:rPr>
            </w:pPr>
          </w:p>
        </w:tc>
        <w:tc>
          <w:tcPr>
            <w:tcW w:w="4252" w:type="dxa"/>
            <w:tcBorders>
              <w:top w:val="single" w:color="auto" w:sz="4" w:space="0"/>
              <w:left w:val="single" w:color="auto" w:sz="4" w:space="0"/>
              <w:bottom w:val="single" w:color="auto" w:sz="4" w:space="0"/>
              <w:right w:val="single" w:color="auto" w:sz="4" w:space="0"/>
            </w:tcBorders>
          </w:tcPr>
          <w:p w14:paraId="7F4444A1">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2、办公室整洁，各项规章制度齐全，岗位责任制度挂在醒目位置，健全各种管理档案，随时供校区相关管理部门调阅。</w:t>
            </w:r>
          </w:p>
        </w:tc>
        <w:tc>
          <w:tcPr>
            <w:tcW w:w="1276" w:type="dxa"/>
            <w:tcBorders>
              <w:top w:val="single" w:color="auto" w:sz="4" w:space="0"/>
              <w:left w:val="single" w:color="auto" w:sz="4" w:space="0"/>
              <w:bottom w:val="single" w:color="auto" w:sz="4" w:space="0"/>
              <w:right w:val="single" w:color="auto" w:sz="4" w:space="0"/>
            </w:tcBorders>
            <w:vAlign w:val="center"/>
          </w:tcPr>
          <w:p w14:paraId="594AA65E">
            <w:pPr>
              <w:ind w:left="120" w:hanging="120" w:hangingChars="50"/>
              <w:jc w:val="center"/>
              <w:rPr>
                <w:rFonts w:ascii="宋体" w:hAnsi="宋体" w:cs="Calibri"/>
                <w:i w:val="0"/>
                <w:iCs w:val="0"/>
                <w:color w:val="auto"/>
                <w:sz w:val="24"/>
                <w:szCs w:val="24"/>
                <w:highlight w:val="none"/>
                <w:u w:val="none"/>
              </w:rPr>
            </w:pPr>
            <w:r>
              <w:rPr>
                <w:rFonts w:ascii="宋体" w:hAnsi="宋体" w:cs="Calibri"/>
                <w:i w:val="0"/>
                <w:iCs w:val="0"/>
                <w:color w:val="auto"/>
                <w:sz w:val="24"/>
                <w:szCs w:val="24"/>
                <w:highlight w:val="none"/>
                <w:u w:val="none"/>
              </w:rPr>
              <w:t>现场查看</w:t>
            </w:r>
          </w:p>
        </w:tc>
        <w:tc>
          <w:tcPr>
            <w:tcW w:w="992" w:type="dxa"/>
            <w:tcBorders>
              <w:top w:val="single" w:color="auto" w:sz="4" w:space="0"/>
              <w:left w:val="single" w:color="auto" w:sz="4" w:space="0"/>
              <w:bottom w:val="single" w:color="auto" w:sz="4" w:space="0"/>
              <w:right w:val="single" w:color="auto" w:sz="4" w:space="0"/>
            </w:tcBorders>
            <w:vAlign w:val="center"/>
          </w:tcPr>
          <w:p w14:paraId="3502DB1A">
            <w:pPr>
              <w:jc w:val="center"/>
              <w:rPr>
                <w:rFonts w:ascii="宋体" w:hAnsi="宋体" w:cs="Calibri"/>
                <w:i w:val="0"/>
                <w:iCs w:val="0"/>
                <w:color w:val="auto"/>
                <w:sz w:val="24"/>
                <w:szCs w:val="24"/>
                <w:highlight w:val="none"/>
                <w:u w:val="none"/>
              </w:rPr>
            </w:pPr>
            <w:r>
              <w:rPr>
                <w:rFonts w:ascii="宋体" w:hAnsi="宋体" w:cs="Calibri"/>
                <w:i w:val="0"/>
                <w:iCs w:val="0"/>
                <w:color w:val="auto"/>
                <w:sz w:val="24"/>
                <w:szCs w:val="24"/>
                <w:highlight w:val="none"/>
                <w:u w:val="none"/>
              </w:rPr>
              <w:t>4</w:t>
            </w:r>
          </w:p>
        </w:tc>
        <w:tc>
          <w:tcPr>
            <w:tcW w:w="738" w:type="dxa"/>
            <w:tcBorders>
              <w:top w:val="single" w:color="auto" w:sz="4" w:space="0"/>
              <w:left w:val="single" w:color="auto" w:sz="4" w:space="0"/>
              <w:bottom w:val="single" w:color="auto" w:sz="4" w:space="0"/>
              <w:right w:val="single" w:color="auto" w:sz="4" w:space="0"/>
            </w:tcBorders>
          </w:tcPr>
          <w:p w14:paraId="07F9DC8B">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6A7E43FD">
            <w:pPr>
              <w:spacing w:line="400" w:lineRule="exact"/>
              <w:rPr>
                <w:rFonts w:ascii="宋体" w:hAnsi="宋体" w:cs="Calibri"/>
                <w:b/>
                <w:i w:val="0"/>
                <w:iCs w:val="0"/>
                <w:color w:val="auto"/>
                <w:sz w:val="24"/>
                <w:szCs w:val="24"/>
                <w:highlight w:val="none"/>
                <w:u w:val="none"/>
              </w:rPr>
            </w:pPr>
          </w:p>
        </w:tc>
      </w:tr>
      <w:tr w14:paraId="38557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277" w:type="dxa"/>
            <w:tcBorders>
              <w:top w:val="single" w:color="auto" w:sz="4" w:space="0"/>
              <w:left w:val="single" w:color="auto" w:sz="4" w:space="0"/>
              <w:bottom w:val="single" w:color="auto" w:sz="4" w:space="0"/>
              <w:right w:val="single" w:color="auto" w:sz="4" w:space="0"/>
            </w:tcBorders>
            <w:vAlign w:val="center"/>
          </w:tcPr>
          <w:p w14:paraId="02FD1379">
            <w:pPr>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附加分</w:t>
            </w:r>
          </w:p>
          <w:p w14:paraId="747F9153">
            <w:pPr>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（-10～10分）</w:t>
            </w:r>
          </w:p>
          <w:p w14:paraId="180A262B">
            <w:pPr>
              <w:jc w:val="center"/>
              <w:rPr>
                <w:rFonts w:ascii="宋体" w:hAnsi="宋体" w:cs="Calibri"/>
                <w:i w:val="0"/>
                <w:iCs w:val="0"/>
                <w:color w:val="auto"/>
                <w:sz w:val="24"/>
                <w:szCs w:val="24"/>
                <w:highlight w:val="none"/>
                <w:u w:val="none"/>
              </w:rPr>
            </w:pPr>
          </w:p>
        </w:tc>
        <w:tc>
          <w:tcPr>
            <w:tcW w:w="4252" w:type="dxa"/>
            <w:tcBorders>
              <w:top w:val="single" w:color="auto" w:sz="4" w:space="0"/>
              <w:left w:val="single" w:color="auto" w:sz="4" w:space="0"/>
              <w:bottom w:val="single" w:color="auto" w:sz="4" w:space="0"/>
              <w:right w:val="single" w:color="auto" w:sz="4" w:space="0"/>
            </w:tcBorders>
          </w:tcPr>
          <w:p w14:paraId="7D5BFC1C">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1、参与校区重大活动，受到校区好评的加1-5分。</w:t>
            </w:r>
          </w:p>
          <w:p w14:paraId="2A8D9E0A">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2、遇到重大突发事件反应迅速，处置得当的，加1-5分。</w:t>
            </w:r>
          </w:p>
          <w:p w14:paraId="10C47168">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3、有违纪违法、消极怠工行为的每人次扣5分。</w:t>
            </w:r>
          </w:p>
          <w:p w14:paraId="0319639D">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4、脱岗每人次扣5分。</w:t>
            </w:r>
          </w:p>
          <w:p w14:paraId="604DA7C4">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5、工作期间饮酒每人次扣5分。</w:t>
            </w:r>
          </w:p>
          <w:p w14:paraId="354D4019">
            <w:pPr>
              <w:rPr>
                <w:rFonts w:ascii="宋体" w:hAnsi="宋体" w:cs="Calibri"/>
                <w:i w:val="0"/>
                <w:iCs w:val="0"/>
                <w:color w:val="auto"/>
                <w:sz w:val="24"/>
                <w:szCs w:val="24"/>
                <w:highlight w:val="none"/>
                <w:u w:val="none"/>
              </w:rPr>
            </w:pPr>
            <w:r>
              <w:rPr>
                <w:rFonts w:hint="eastAsia" w:ascii="宋体" w:hAnsi="宋体" w:cs="Calibri"/>
                <w:i w:val="0"/>
                <w:iCs w:val="0"/>
                <w:color w:val="auto"/>
                <w:sz w:val="24"/>
                <w:szCs w:val="24"/>
                <w:highlight w:val="none"/>
                <w:u w:val="none"/>
              </w:rPr>
              <w:t>6、公共场合抽烟每人次扣2分。</w:t>
            </w:r>
          </w:p>
        </w:tc>
        <w:tc>
          <w:tcPr>
            <w:tcW w:w="1276" w:type="dxa"/>
            <w:tcBorders>
              <w:top w:val="single" w:color="auto" w:sz="4" w:space="0"/>
              <w:left w:val="single" w:color="auto" w:sz="4" w:space="0"/>
              <w:bottom w:val="single" w:color="auto" w:sz="4" w:space="0"/>
              <w:right w:val="single" w:color="auto" w:sz="4" w:space="0"/>
            </w:tcBorders>
            <w:vAlign w:val="center"/>
          </w:tcPr>
          <w:p w14:paraId="0309B504">
            <w:pPr>
              <w:ind w:left="120" w:hanging="120" w:hangingChars="50"/>
              <w:jc w:val="center"/>
              <w:rPr>
                <w:rFonts w:ascii="宋体" w:hAnsi="宋体" w:cs="Calibri"/>
                <w:i w:val="0"/>
                <w:iCs w:val="0"/>
                <w:color w:val="auto"/>
                <w:sz w:val="24"/>
                <w:szCs w:val="24"/>
                <w:highlight w:val="none"/>
                <w:u w:val="none"/>
              </w:rPr>
            </w:pPr>
            <w:r>
              <w:rPr>
                <w:rFonts w:ascii="宋体" w:hAnsi="宋体" w:cs="Calibri"/>
                <w:i w:val="0"/>
                <w:iCs w:val="0"/>
                <w:color w:val="auto"/>
                <w:sz w:val="24"/>
                <w:szCs w:val="24"/>
                <w:highlight w:val="none"/>
                <w:u w:val="none"/>
              </w:rPr>
              <w:t>现场查</w:t>
            </w:r>
            <w:r>
              <w:rPr>
                <w:rFonts w:hint="eastAsia" w:ascii="宋体" w:hAnsi="宋体" w:cs="Calibri"/>
                <w:i w:val="0"/>
                <w:iCs w:val="0"/>
                <w:color w:val="auto"/>
                <w:sz w:val="24"/>
                <w:szCs w:val="24"/>
                <w:highlight w:val="none"/>
                <w:u w:val="none"/>
              </w:rPr>
              <w:t>看</w:t>
            </w:r>
          </w:p>
          <w:p w14:paraId="34EF9C43">
            <w:pPr>
              <w:ind w:left="120" w:hanging="120" w:hangingChars="50"/>
              <w:jc w:val="center"/>
              <w:rPr>
                <w:rFonts w:ascii="宋体" w:hAnsi="宋体" w:cs="Calibri"/>
                <w:b/>
                <w:i w:val="0"/>
                <w:iCs w:val="0"/>
                <w:color w:val="auto"/>
                <w:sz w:val="24"/>
                <w:szCs w:val="24"/>
                <w:highlight w:val="none"/>
                <w:u w:val="none"/>
              </w:rPr>
            </w:pPr>
            <w:r>
              <w:rPr>
                <w:rFonts w:hint="eastAsia" w:ascii="宋体" w:hAnsi="宋体" w:cs="Calibri"/>
                <w:i w:val="0"/>
                <w:iCs w:val="0"/>
                <w:color w:val="auto"/>
                <w:sz w:val="24"/>
                <w:szCs w:val="24"/>
                <w:highlight w:val="none"/>
                <w:u w:val="none"/>
              </w:rPr>
              <w:t>收集反映</w:t>
            </w:r>
          </w:p>
        </w:tc>
        <w:tc>
          <w:tcPr>
            <w:tcW w:w="992" w:type="dxa"/>
            <w:tcBorders>
              <w:top w:val="single" w:color="auto" w:sz="4" w:space="0"/>
              <w:left w:val="single" w:color="auto" w:sz="4" w:space="0"/>
              <w:bottom w:val="single" w:color="auto" w:sz="4" w:space="0"/>
              <w:right w:val="single" w:color="auto" w:sz="4" w:space="0"/>
            </w:tcBorders>
          </w:tcPr>
          <w:p w14:paraId="211F5EDD">
            <w:pPr>
              <w:spacing w:line="400" w:lineRule="exact"/>
              <w:rPr>
                <w:rFonts w:ascii="宋体" w:hAnsi="宋体" w:cs="Calibri"/>
                <w:b/>
                <w:i w:val="0"/>
                <w:iCs w:val="0"/>
                <w:color w:val="auto"/>
                <w:sz w:val="24"/>
                <w:szCs w:val="24"/>
                <w:highlight w:val="none"/>
                <w:u w:val="none"/>
              </w:rPr>
            </w:pPr>
          </w:p>
        </w:tc>
        <w:tc>
          <w:tcPr>
            <w:tcW w:w="738" w:type="dxa"/>
            <w:tcBorders>
              <w:top w:val="single" w:color="auto" w:sz="4" w:space="0"/>
              <w:left w:val="single" w:color="auto" w:sz="4" w:space="0"/>
              <w:bottom w:val="single" w:color="auto" w:sz="4" w:space="0"/>
              <w:right w:val="single" w:color="auto" w:sz="4" w:space="0"/>
            </w:tcBorders>
          </w:tcPr>
          <w:p w14:paraId="29EA41A9">
            <w:pPr>
              <w:spacing w:line="400" w:lineRule="exact"/>
              <w:rPr>
                <w:rFonts w:ascii="宋体" w:hAnsi="宋体" w:cs="Calibri"/>
                <w:b/>
                <w:i w:val="0"/>
                <w:iCs w:val="0"/>
                <w:color w:val="auto"/>
                <w:sz w:val="24"/>
                <w:szCs w:val="24"/>
                <w:highlight w:val="none"/>
                <w:u w:val="none"/>
              </w:rPr>
            </w:pPr>
          </w:p>
        </w:tc>
        <w:tc>
          <w:tcPr>
            <w:tcW w:w="821" w:type="dxa"/>
            <w:tcBorders>
              <w:top w:val="single" w:color="auto" w:sz="4" w:space="0"/>
              <w:left w:val="single" w:color="auto" w:sz="4" w:space="0"/>
              <w:bottom w:val="single" w:color="auto" w:sz="4" w:space="0"/>
              <w:right w:val="single" w:color="auto" w:sz="4" w:space="0"/>
            </w:tcBorders>
          </w:tcPr>
          <w:p w14:paraId="208C38AF">
            <w:pPr>
              <w:spacing w:line="400" w:lineRule="exact"/>
              <w:rPr>
                <w:rFonts w:ascii="宋体" w:hAnsi="宋体" w:cs="Calibri"/>
                <w:b/>
                <w:i w:val="0"/>
                <w:iCs w:val="0"/>
                <w:color w:val="auto"/>
                <w:sz w:val="24"/>
                <w:szCs w:val="24"/>
                <w:highlight w:val="none"/>
                <w:u w:val="none"/>
              </w:rPr>
            </w:pPr>
          </w:p>
        </w:tc>
      </w:tr>
      <w:tr w14:paraId="7152C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5529" w:type="dxa"/>
            <w:gridSpan w:val="2"/>
            <w:tcBorders>
              <w:top w:val="single" w:color="auto" w:sz="4" w:space="0"/>
              <w:left w:val="single" w:color="auto" w:sz="4" w:space="0"/>
              <w:bottom w:val="single" w:color="auto" w:sz="4" w:space="0"/>
              <w:right w:val="single" w:color="auto" w:sz="4" w:space="0"/>
            </w:tcBorders>
            <w:vAlign w:val="center"/>
          </w:tcPr>
          <w:p w14:paraId="7D56378B">
            <w:pPr>
              <w:jc w:val="cente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合</w:t>
            </w:r>
            <w:r>
              <w:rPr>
                <w:rFonts w:ascii="宋体" w:hAnsi="宋体" w:cs="Calibri"/>
                <w:b/>
                <w:i w:val="0"/>
                <w:iCs w:val="0"/>
                <w:color w:val="auto"/>
                <w:sz w:val="24"/>
                <w:szCs w:val="24"/>
                <w:highlight w:val="none"/>
                <w:u w:val="none"/>
              </w:rPr>
              <w:t xml:space="preserve">      </w:t>
            </w:r>
            <w:r>
              <w:rPr>
                <w:rFonts w:hint="eastAsia" w:ascii="宋体" w:hAnsi="宋体" w:cs="Calibri"/>
                <w:b/>
                <w:i w:val="0"/>
                <w:iCs w:val="0"/>
                <w:color w:val="auto"/>
                <w:sz w:val="24"/>
                <w:szCs w:val="24"/>
                <w:highlight w:val="none"/>
                <w:u w:val="none"/>
              </w:rPr>
              <w:t>计</w:t>
            </w:r>
          </w:p>
        </w:tc>
        <w:tc>
          <w:tcPr>
            <w:tcW w:w="3827" w:type="dxa"/>
            <w:gridSpan w:val="4"/>
            <w:tcBorders>
              <w:top w:val="single" w:color="auto" w:sz="4" w:space="0"/>
              <w:left w:val="single" w:color="auto" w:sz="4" w:space="0"/>
              <w:bottom w:val="single" w:color="auto" w:sz="4" w:space="0"/>
              <w:right w:val="single" w:color="auto" w:sz="4" w:space="0"/>
            </w:tcBorders>
          </w:tcPr>
          <w:p w14:paraId="6E4E6535">
            <w:pPr>
              <w:spacing w:line="400" w:lineRule="exact"/>
              <w:rPr>
                <w:rFonts w:ascii="宋体" w:hAnsi="宋体" w:cs="Calibri"/>
                <w:b/>
                <w:i w:val="0"/>
                <w:iCs w:val="0"/>
                <w:color w:val="auto"/>
                <w:sz w:val="24"/>
                <w:szCs w:val="24"/>
                <w:highlight w:val="none"/>
                <w:u w:val="none"/>
              </w:rPr>
            </w:pPr>
          </w:p>
        </w:tc>
      </w:tr>
      <w:tr w14:paraId="23473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5529" w:type="dxa"/>
            <w:gridSpan w:val="2"/>
            <w:tcBorders>
              <w:top w:val="single" w:color="auto" w:sz="4" w:space="0"/>
              <w:left w:val="single" w:color="auto" w:sz="4" w:space="0"/>
              <w:bottom w:val="single" w:color="auto" w:sz="4" w:space="0"/>
              <w:right w:val="single" w:color="auto" w:sz="4" w:space="0"/>
            </w:tcBorders>
            <w:vAlign w:val="center"/>
          </w:tcPr>
          <w:p w14:paraId="09783454">
            <w:pPr>
              <w:rPr>
                <w:rFonts w:ascii="宋体" w:hAnsi="宋体" w:cs="Calibri"/>
                <w:b/>
                <w:i w:val="0"/>
                <w:iCs w:val="0"/>
                <w:color w:val="auto"/>
                <w:sz w:val="24"/>
                <w:szCs w:val="24"/>
                <w:highlight w:val="none"/>
                <w:u w:val="none"/>
              </w:rPr>
            </w:pPr>
            <w:r>
              <w:rPr>
                <w:rFonts w:hint="eastAsia" w:ascii="宋体" w:hAnsi="宋体" w:cs="Calibri"/>
                <w:b/>
                <w:i w:val="0"/>
                <w:iCs w:val="0"/>
                <w:color w:val="auto"/>
                <w:sz w:val="24"/>
                <w:szCs w:val="24"/>
                <w:highlight w:val="none"/>
                <w:u w:val="none"/>
              </w:rPr>
              <w:t>注：90分以上为优秀，80-89分为良好，60-79分为合格，60分以下为不合格。</w:t>
            </w:r>
          </w:p>
        </w:tc>
        <w:tc>
          <w:tcPr>
            <w:tcW w:w="3827" w:type="dxa"/>
            <w:gridSpan w:val="4"/>
            <w:tcBorders>
              <w:top w:val="single" w:color="auto" w:sz="4" w:space="0"/>
              <w:left w:val="single" w:color="auto" w:sz="4" w:space="0"/>
              <w:bottom w:val="single" w:color="auto" w:sz="4" w:space="0"/>
              <w:right w:val="single" w:color="auto" w:sz="4" w:space="0"/>
            </w:tcBorders>
          </w:tcPr>
          <w:p w14:paraId="31114235">
            <w:pPr>
              <w:spacing w:line="400" w:lineRule="exact"/>
              <w:rPr>
                <w:rFonts w:ascii="宋体" w:hAnsi="宋体" w:cs="Calibri"/>
                <w:b/>
                <w:i w:val="0"/>
                <w:iCs w:val="0"/>
                <w:color w:val="auto"/>
                <w:sz w:val="24"/>
                <w:szCs w:val="24"/>
                <w:highlight w:val="none"/>
                <w:u w:val="none"/>
              </w:rPr>
            </w:pPr>
          </w:p>
        </w:tc>
      </w:tr>
    </w:tbl>
    <w:p w14:paraId="3916D6B1">
      <w:pPr>
        <w:spacing w:line="360" w:lineRule="auto"/>
        <w:ind w:firstLine="420"/>
        <w:rPr>
          <w:rFonts w:ascii="宋体" w:hAnsi="宋体"/>
          <w:i w:val="0"/>
          <w:iCs w:val="0"/>
          <w:color w:val="auto"/>
          <w:kern w:val="2"/>
          <w:sz w:val="24"/>
          <w:szCs w:val="24"/>
          <w:highlight w:val="none"/>
          <w:u w:val="none"/>
        </w:rPr>
      </w:pPr>
      <w:r>
        <w:rPr>
          <w:rFonts w:hint="eastAsia" w:ascii="宋体" w:hAnsi="宋体"/>
          <w:i w:val="0"/>
          <w:iCs w:val="0"/>
          <w:color w:val="auto"/>
          <w:kern w:val="2"/>
          <w:sz w:val="24"/>
          <w:szCs w:val="24"/>
          <w:highlight w:val="none"/>
          <w:u w:val="none"/>
        </w:rPr>
        <w:t>考核人：                              填表日期：</w:t>
      </w:r>
    </w:p>
    <w:p w14:paraId="2137233C">
      <w:pPr>
        <w:spacing w:line="360" w:lineRule="auto"/>
        <w:ind w:firstLine="420"/>
        <w:rPr>
          <w:rFonts w:ascii="宋体" w:hAnsi="宋体"/>
          <w:i w:val="0"/>
          <w:iCs w:val="0"/>
          <w:color w:val="auto"/>
          <w:kern w:val="2"/>
          <w:sz w:val="24"/>
          <w:szCs w:val="24"/>
          <w:highlight w:val="none"/>
          <w:u w:val="none"/>
        </w:rPr>
      </w:pPr>
      <w:r>
        <w:rPr>
          <w:rFonts w:hint="eastAsia" w:ascii="宋体" w:hAnsi="宋体"/>
          <w:i w:val="0"/>
          <w:iCs w:val="0"/>
          <w:color w:val="auto"/>
          <w:kern w:val="2"/>
          <w:sz w:val="24"/>
          <w:szCs w:val="24"/>
          <w:highlight w:val="none"/>
          <w:u w:val="none"/>
        </w:rPr>
        <w:t>5.2考核办法：</w:t>
      </w:r>
    </w:p>
    <w:p w14:paraId="41EFFE79">
      <w:pPr>
        <w:spacing w:line="360" w:lineRule="auto"/>
        <w:ind w:firstLine="480"/>
        <w:rPr>
          <w:rFonts w:ascii="Times New Roman" w:hAnsi="Times New Roman"/>
          <w:i w:val="0"/>
          <w:iCs w:val="0"/>
          <w:color w:val="auto"/>
          <w:sz w:val="24"/>
          <w:szCs w:val="24"/>
          <w:highlight w:val="none"/>
          <w:u w:val="none"/>
        </w:rPr>
      </w:pPr>
      <w:r>
        <w:rPr>
          <w:rFonts w:hint="eastAsia" w:ascii="Times New Roman" w:hAnsi="Times New Roman"/>
          <w:i w:val="0"/>
          <w:iCs w:val="0"/>
          <w:color w:val="auto"/>
          <w:sz w:val="24"/>
          <w:szCs w:val="24"/>
          <w:highlight w:val="none"/>
          <w:u w:val="none"/>
        </w:rPr>
        <w:t>考核周期为每季度一次，由校方组织考核小组集体考核。季度考核平均分低于70分，采购人有权扣除该季度服务费用的1%；季度考核平均分低于65分，采购人有权扣除该季度服务费用的3%；季度考核平均分低于60分，采购人有权扣除该季度服务费用的5%；季度考核平均分低于50分，采购人有权终止合同，由中标人承担采购人的损失，同时扣除所有履约保证金。</w:t>
      </w:r>
    </w:p>
    <w:p w14:paraId="10A683F0">
      <w:pPr>
        <w:spacing w:line="360" w:lineRule="auto"/>
        <w:ind w:firstLine="482"/>
        <w:rPr>
          <w:rFonts w:ascii="Times New Roman" w:hAnsi="Times New Roman"/>
          <w:b/>
          <w:i w:val="0"/>
          <w:iCs w:val="0"/>
          <w:color w:val="auto"/>
          <w:sz w:val="24"/>
          <w:szCs w:val="24"/>
          <w:highlight w:val="none"/>
          <w:u w:val="none"/>
        </w:rPr>
      </w:pPr>
      <w:r>
        <w:rPr>
          <w:rFonts w:hint="eastAsia" w:ascii="Times New Roman" w:hAnsi="Times New Roman"/>
          <w:b/>
          <w:i w:val="0"/>
          <w:iCs w:val="0"/>
          <w:color w:val="auto"/>
          <w:sz w:val="24"/>
          <w:szCs w:val="24"/>
          <w:highlight w:val="none"/>
          <w:u w:val="none"/>
        </w:rPr>
        <w:t>十一、</w:t>
      </w:r>
      <w:r>
        <w:rPr>
          <w:rFonts w:ascii="Times New Roman" w:hAnsi="Times New Roman"/>
          <w:b/>
          <w:i w:val="0"/>
          <w:iCs w:val="0"/>
          <w:color w:val="auto"/>
          <w:sz w:val="24"/>
          <w:szCs w:val="24"/>
          <w:highlight w:val="none"/>
          <w:u w:val="none"/>
        </w:rPr>
        <w:t>其他</w:t>
      </w:r>
    </w:p>
    <w:p w14:paraId="5F203C31">
      <w:pPr>
        <w:spacing w:line="360" w:lineRule="auto"/>
        <w:ind w:firstLine="480"/>
        <w:rPr>
          <w:rFonts w:ascii="Times New Roman" w:hAnsi="Times New Roman"/>
          <w:i w:val="0"/>
          <w:iCs w:val="0"/>
          <w:color w:val="auto"/>
          <w:sz w:val="24"/>
          <w:szCs w:val="24"/>
          <w:highlight w:val="none"/>
          <w:u w:val="none"/>
        </w:rPr>
      </w:pPr>
      <w:r>
        <w:rPr>
          <w:rFonts w:ascii="Times New Roman" w:hAnsi="Times New Roman"/>
          <w:i w:val="0"/>
          <w:iCs w:val="0"/>
          <w:color w:val="auto"/>
          <w:sz w:val="24"/>
          <w:szCs w:val="24"/>
          <w:highlight w:val="none"/>
          <w:u w:val="none"/>
        </w:rPr>
        <w:t>本项目报价不得超过预算价（最高限价）。</w:t>
      </w:r>
    </w:p>
    <w:p w14:paraId="72B211DE">
      <w:pPr>
        <w:spacing w:line="360" w:lineRule="auto"/>
        <w:ind w:firstLine="480"/>
        <w:rPr>
          <w:rFonts w:ascii="Times New Roman" w:hAnsi="Times New Roman"/>
          <w:i w:val="0"/>
          <w:iCs w:val="0"/>
          <w:color w:val="auto"/>
          <w:sz w:val="24"/>
          <w:szCs w:val="24"/>
          <w:highlight w:val="none"/>
          <w:u w:val="none"/>
        </w:rPr>
      </w:pPr>
      <w:r>
        <w:rPr>
          <w:rFonts w:ascii="Times New Roman" w:hAnsi="Times New Roman"/>
          <w:i w:val="0"/>
          <w:iCs w:val="0"/>
          <w:color w:val="auto"/>
          <w:sz w:val="24"/>
          <w:szCs w:val="24"/>
          <w:highlight w:val="none"/>
          <w:u w:val="none"/>
        </w:rPr>
        <w:t>特别提醒投标人：应根据国家收费标准并结合市场实际进行报价，总价包干。</w:t>
      </w:r>
    </w:p>
    <w:p w14:paraId="7F8D29BD">
      <w:pPr>
        <w:spacing w:line="360" w:lineRule="auto"/>
        <w:ind w:firstLine="480"/>
        <w:rPr>
          <w:rFonts w:ascii="Times New Roman" w:hAnsi="Times New Roman"/>
          <w:i w:val="0"/>
          <w:iCs w:val="0"/>
          <w:color w:val="auto"/>
          <w:sz w:val="24"/>
          <w:szCs w:val="24"/>
          <w:highlight w:val="none"/>
          <w:u w:val="none"/>
        </w:rPr>
      </w:pPr>
      <w:r>
        <w:rPr>
          <w:rFonts w:ascii="Times New Roman" w:hAnsi="Times New Roman"/>
          <w:i w:val="0"/>
          <w:iCs w:val="0"/>
          <w:color w:val="auto"/>
          <w:sz w:val="24"/>
          <w:szCs w:val="24"/>
          <w:highlight w:val="none"/>
          <w:u w:val="none"/>
        </w:rPr>
        <w:t>工作中涉及的敏感资料、电子数据等相关信息，中标人应严格执行保密的相关规定，不得以任何方式向任何第三人披露、泄露或许可第三人使用，否则追究其相应法律责任。</w:t>
      </w:r>
    </w:p>
    <w:p w14:paraId="0B0BF4EB">
      <w:pPr>
        <w:keepNext w:val="0"/>
        <w:keepLines w:val="0"/>
        <w:pageBreakBefore w:val="0"/>
        <w:kinsoku w:val="0"/>
        <w:wordWrap/>
        <w:overflowPunct/>
        <w:topLinePunct w:val="0"/>
        <w:autoSpaceDE w:val="0"/>
        <w:autoSpaceDN w:val="0"/>
        <w:bidi w:val="0"/>
        <w:adjustRightInd w:val="0"/>
        <w:snapToGrid w:val="0"/>
        <w:spacing w:line="500" w:lineRule="exact"/>
        <w:ind w:firstLine="480" w:firstLineChars="200"/>
        <w:jc w:val="both"/>
        <w:textAlignment w:val="baseline"/>
        <w:rPr>
          <w:rFonts w:hint="eastAsia" w:ascii="黑体" w:hAnsi="黑体" w:eastAsia="黑体"/>
          <w:b w:val="0"/>
          <w:bCs w:val="0"/>
          <w:i w:val="0"/>
          <w:iCs w:val="0"/>
          <w:color w:val="auto"/>
          <w:sz w:val="24"/>
          <w:szCs w:val="24"/>
          <w:highlight w:val="none"/>
          <w:u w:val="none"/>
          <w:lang w:eastAsia="zh-CN"/>
        </w:rPr>
      </w:pPr>
      <w:r>
        <w:rPr>
          <w:rFonts w:hint="eastAsia" w:ascii="黑体" w:hAnsi="黑体" w:eastAsia="黑体"/>
          <w:b w:val="0"/>
          <w:bCs w:val="0"/>
          <w:i w:val="0"/>
          <w:iCs w:val="0"/>
          <w:color w:val="auto"/>
          <w:sz w:val="24"/>
          <w:szCs w:val="24"/>
          <w:highlight w:val="none"/>
          <w:u w:val="none"/>
          <w:lang w:val="en-US" w:eastAsia="zh-CN"/>
        </w:rPr>
        <w:t>四、评分办法（</w:t>
      </w:r>
      <w:r>
        <w:rPr>
          <w:rFonts w:hint="eastAsia" w:ascii="黑体" w:hAnsi="黑体" w:eastAsia="黑体"/>
          <w:b w:val="0"/>
          <w:bCs w:val="0"/>
          <w:i w:val="0"/>
          <w:iCs w:val="0"/>
          <w:color w:val="auto"/>
          <w:sz w:val="24"/>
          <w:szCs w:val="24"/>
          <w:highlight w:val="none"/>
          <w:u w:val="none"/>
        </w:rPr>
        <w:t>综合评分法</w:t>
      </w:r>
      <w:r>
        <w:rPr>
          <w:rFonts w:hint="eastAsia" w:ascii="黑体" w:hAnsi="黑体" w:eastAsia="黑体"/>
          <w:b w:val="0"/>
          <w:bCs w:val="0"/>
          <w:i w:val="0"/>
          <w:iCs w:val="0"/>
          <w:color w:val="auto"/>
          <w:sz w:val="24"/>
          <w:szCs w:val="24"/>
          <w:highlight w:val="none"/>
          <w:u w:val="none"/>
          <w:lang w:eastAsia="zh-CN"/>
        </w:rPr>
        <w:t>）</w:t>
      </w:r>
    </w:p>
    <w:p w14:paraId="4EE37C72">
      <w:pPr>
        <w:spacing w:line="360" w:lineRule="auto"/>
        <w:ind w:firstLine="480" w:firstLineChars="200"/>
        <w:rPr>
          <w:rFonts w:hint="eastAsia" w:ascii="宋体" w:hAnsi="宋体" w:cs="黑体"/>
          <w:b/>
          <w:bCs/>
          <w:sz w:val="24"/>
          <w:szCs w:val="24"/>
        </w:rPr>
      </w:pPr>
      <w:r>
        <w:rPr>
          <w:rFonts w:hint="eastAsia" w:ascii="宋体" w:hAnsi="宋体" w:cs="黑体"/>
          <w:b/>
          <w:bCs/>
          <w:sz w:val="24"/>
          <w:szCs w:val="24"/>
        </w:rPr>
        <w:t>(1)价格分</w:t>
      </w:r>
    </w:p>
    <w:p w14:paraId="3D22C1F5">
      <w:pPr>
        <w:spacing w:line="360" w:lineRule="auto"/>
        <w:ind w:firstLine="480" w:firstLineChars="200"/>
        <w:rPr>
          <w:rFonts w:hint="eastAsia" w:ascii="宋体" w:hAnsi="宋体" w:cs="黑体"/>
          <w:sz w:val="24"/>
          <w:szCs w:val="24"/>
        </w:rPr>
      </w:pPr>
      <w:r>
        <w:rPr>
          <w:rFonts w:hint="eastAsia" w:ascii="宋体" w:hAnsi="宋体" w:cs="黑体"/>
          <w:sz w:val="24"/>
          <w:szCs w:val="24"/>
        </w:rPr>
        <w:t>采用低价优先法计算，即满足招标文件要求且投标价格最低的投标报价为评标基准价，其价格分为满分。</w:t>
      </w:r>
    </w:p>
    <w:p w14:paraId="77064E24">
      <w:pPr>
        <w:spacing w:line="360" w:lineRule="auto"/>
        <w:ind w:firstLine="480" w:firstLineChars="200"/>
        <w:rPr>
          <w:rFonts w:ascii="宋体" w:hAnsi="宋体" w:cs="黑体"/>
          <w:sz w:val="24"/>
          <w:szCs w:val="24"/>
        </w:rPr>
      </w:pPr>
      <w:r>
        <w:rPr>
          <w:rFonts w:hint="eastAsia" w:ascii="宋体" w:hAnsi="宋体" w:cs="黑体"/>
          <w:sz w:val="24"/>
          <w:szCs w:val="24"/>
        </w:rPr>
        <w:t>因落实政府采购政策进行价格扣除的，用扣除后的价格参加评审。</w:t>
      </w:r>
    </w:p>
    <w:p w14:paraId="383D623B">
      <w:pPr>
        <w:spacing w:line="360" w:lineRule="auto"/>
        <w:ind w:firstLine="480" w:firstLineChars="200"/>
        <w:rPr>
          <w:rFonts w:ascii="宋体" w:hAnsi="宋体" w:cs="黑体"/>
          <w:b/>
          <w:bCs/>
          <w:sz w:val="24"/>
          <w:szCs w:val="24"/>
        </w:rPr>
      </w:pPr>
      <w:r>
        <w:rPr>
          <w:rFonts w:hint="eastAsia" w:ascii="宋体" w:hAnsi="宋体" w:cs="黑体"/>
          <w:b/>
          <w:bCs/>
          <w:sz w:val="24"/>
          <w:szCs w:val="24"/>
        </w:rPr>
        <w:t>(2)技术分</w:t>
      </w:r>
    </w:p>
    <w:tbl>
      <w:tblPr>
        <w:tblStyle w:val="8"/>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2"/>
        <w:gridCol w:w="7938"/>
      </w:tblGrid>
      <w:tr w14:paraId="6357F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42" w:type="dxa"/>
            <w:vAlign w:val="center"/>
          </w:tcPr>
          <w:p w14:paraId="67A7518D">
            <w:pPr>
              <w:jc w:val="center"/>
              <w:rPr>
                <w:rFonts w:ascii="宋体" w:hAnsi="宋体" w:cs="黑体"/>
                <w:sz w:val="24"/>
                <w:szCs w:val="24"/>
              </w:rPr>
            </w:pPr>
            <w:r>
              <w:rPr>
                <w:rFonts w:hint="eastAsia" w:ascii="宋体" w:hAnsi="宋体" w:cs="黑体"/>
                <w:sz w:val="24"/>
                <w:szCs w:val="24"/>
              </w:rPr>
              <w:t>评审因素</w:t>
            </w:r>
          </w:p>
        </w:tc>
        <w:tc>
          <w:tcPr>
            <w:tcW w:w="7938" w:type="dxa"/>
            <w:vAlign w:val="center"/>
          </w:tcPr>
          <w:p w14:paraId="16F078AD">
            <w:pPr>
              <w:jc w:val="center"/>
              <w:rPr>
                <w:rFonts w:ascii="宋体" w:hAnsi="宋体" w:cs="黑体"/>
                <w:sz w:val="24"/>
                <w:szCs w:val="24"/>
              </w:rPr>
            </w:pPr>
            <w:r>
              <w:rPr>
                <w:rFonts w:hint="eastAsia" w:ascii="宋体" w:hAnsi="宋体" w:cs="黑体"/>
                <w:sz w:val="24"/>
                <w:szCs w:val="24"/>
              </w:rPr>
              <w:t>评审标准</w:t>
            </w:r>
          </w:p>
        </w:tc>
      </w:tr>
      <w:tr w14:paraId="3ADF2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14:paraId="280881FC">
            <w:pPr>
              <w:jc w:val="center"/>
              <w:rPr>
                <w:rFonts w:ascii="宋体" w:hAnsi="宋体" w:cs="黑体"/>
                <w:sz w:val="24"/>
                <w:szCs w:val="24"/>
              </w:rPr>
            </w:pPr>
            <w:r>
              <w:rPr>
                <w:rFonts w:hint="eastAsia" w:ascii="宋体" w:hAnsi="宋体" w:cs="黑体"/>
                <w:sz w:val="24"/>
                <w:szCs w:val="24"/>
              </w:rPr>
              <w:t>培训方案</w:t>
            </w:r>
          </w:p>
          <w:p w14:paraId="00C9CF63">
            <w:pPr>
              <w:jc w:val="center"/>
              <w:rPr>
                <w:rFonts w:ascii="宋体" w:hAnsi="宋体" w:cs="黑体"/>
                <w:sz w:val="24"/>
                <w:szCs w:val="24"/>
              </w:rPr>
            </w:pPr>
          </w:p>
        </w:tc>
        <w:tc>
          <w:tcPr>
            <w:tcW w:w="7938" w:type="dxa"/>
          </w:tcPr>
          <w:p w14:paraId="76FA164D">
            <w:pPr>
              <w:rPr>
                <w:rFonts w:ascii="宋体" w:hAnsi="宋体" w:cs="黑体"/>
                <w:sz w:val="24"/>
                <w:szCs w:val="24"/>
              </w:rPr>
            </w:pPr>
            <w:r>
              <w:rPr>
                <w:rFonts w:hint="eastAsia" w:ascii="宋体" w:hAnsi="宋体" w:cs="黑体"/>
                <w:sz w:val="24"/>
                <w:szCs w:val="24"/>
              </w:rPr>
              <w:t>投标人提供培训方案，内容包括但不限于人员能力培训、仪容仪表言行规范培训、安全培训、应急培训等。</w:t>
            </w:r>
          </w:p>
        </w:tc>
      </w:tr>
      <w:tr w14:paraId="0B5FF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42" w:type="dxa"/>
            <w:vAlign w:val="center"/>
          </w:tcPr>
          <w:p w14:paraId="06B61845">
            <w:pPr>
              <w:jc w:val="center"/>
              <w:rPr>
                <w:rFonts w:ascii="宋体" w:hAnsi="宋体" w:cs="黑体"/>
                <w:sz w:val="24"/>
                <w:szCs w:val="24"/>
              </w:rPr>
            </w:pPr>
            <w:r>
              <w:rPr>
                <w:rFonts w:hint="eastAsia" w:ascii="宋体" w:hAnsi="宋体" w:cs="黑体"/>
                <w:sz w:val="24"/>
                <w:szCs w:val="24"/>
              </w:rPr>
              <w:t>安保服务方案</w:t>
            </w:r>
          </w:p>
        </w:tc>
        <w:tc>
          <w:tcPr>
            <w:tcW w:w="7938" w:type="dxa"/>
          </w:tcPr>
          <w:p w14:paraId="25F5ECCF">
            <w:pPr>
              <w:rPr>
                <w:rFonts w:ascii="宋体" w:hAnsi="宋体" w:cs="黑体"/>
                <w:sz w:val="24"/>
                <w:szCs w:val="24"/>
              </w:rPr>
            </w:pPr>
            <w:r>
              <w:rPr>
                <w:rFonts w:hint="eastAsia" w:ascii="宋体" w:hAnsi="宋体" w:cs="黑体"/>
                <w:sz w:val="24"/>
                <w:szCs w:val="24"/>
              </w:rPr>
              <w:t>投标人提供安保服务方案，内容包括但不限于安保服务、车辆管理、日常秩序维护方案等。</w:t>
            </w:r>
          </w:p>
        </w:tc>
      </w:tr>
      <w:tr w14:paraId="4DF69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14:paraId="778426DD">
            <w:pPr>
              <w:jc w:val="center"/>
              <w:rPr>
                <w:rFonts w:ascii="宋体" w:hAnsi="宋体" w:cs="黑体"/>
                <w:sz w:val="24"/>
                <w:szCs w:val="24"/>
              </w:rPr>
            </w:pPr>
            <w:r>
              <w:rPr>
                <w:rFonts w:hint="eastAsia" w:ascii="宋体" w:hAnsi="宋体" w:cs="黑体"/>
                <w:sz w:val="24"/>
                <w:szCs w:val="24"/>
              </w:rPr>
              <w:t>应急处置方案</w:t>
            </w:r>
          </w:p>
        </w:tc>
        <w:tc>
          <w:tcPr>
            <w:tcW w:w="7938" w:type="dxa"/>
          </w:tcPr>
          <w:p w14:paraId="549B0DB2">
            <w:pPr>
              <w:rPr>
                <w:rFonts w:ascii="宋体" w:hAnsi="宋体" w:cs="黑体"/>
                <w:sz w:val="24"/>
                <w:szCs w:val="24"/>
              </w:rPr>
            </w:pPr>
            <w:r>
              <w:rPr>
                <w:rFonts w:hint="eastAsia" w:ascii="宋体" w:hAnsi="宋体" w:cs="黑体"/>
                <w:sz w:val="24"/>
                <w:szCs w:val="24"/>
              </w:rPr>
              <w:t>投标人提供应急处理方案，内容包括但不限于停水停电、火灾盗窃、公共事件、自然灾害、人员调配、物资供应等。</w:t>
            </w:r>
          </w:p>
        </w:tc>
      </w:tr>
      <w:tr w14:paraId="77592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14:paraId="4BEEA4C7">
            <w:pPr>
              <w:jc w:val="center"/>
              <w:rPr>
                <w:rFonts w:ascii="宋体" w:hAnsi="宋体" w:cs="黑体"/>
                <w:sz w:val="24"/>
                <w:szCs w:val="24"/>
              </w:rPr>
            </w:pPr>
            <w:r>
              <w:rPr>
                <w:rFonts w:hint="eastAsia" w:ascii="宋体" w:hAnsi="宋体" w:cs="黑体"/>
                <w:sz w:val="24"/>
                <w:szCs w:val="24"/>
              </w:rPr>
              <w:t>管理制度</w:t>
            </w:r>
          </w:p>
          <w:p w14:paraId="1BF9CADB">
            <w:pPr>
              <w:jc w:val="center"/>
              <w:rPr>
                <w:rFonts w:ascii="宋体" w:hAnsi="宋体" w:cs="黑体"/>
                <w:sz w:val="24"/>
                <w:szCs w:val="24"/>
              </w:rPr>
            </w:pPr>
            <w:r>
              <w:rPr>
                <w:rFonts w:hint="eastAsia" w:ascii="宋体" w:hAnsi="宋体" w:cs="黑体"/>
                <w:sz w:val="24"/>
                <w:szCs w:val="24"/>
              </w:rPr>
              <w:t>方案</w:t>
            </w:r>
          </w:p>
        </w:tc>
        <w:tc>
          <w:tcPr>
            <w:tcW w:w="7938" w:type="dxa"/>
          </w:tcPr>
          <w:p w14:paraId="296F85DB">
            <w:pPr>
              <w:rPr>
                <w:rFonts w:ascii="宋体" w:hAnsi="宋体" w:cs="黑体"/>
                <w:sz w:val="24"/>
                <w:szCs w:val="24"/>
              </w:rPr>
            </w:pPr>
            <w:r>
              <w:rPr>
                <w:rFonts w:hint="eastAsia" w:ascii="宋体" w:hAnsi="宋体" w:cs="黑体"/>
                <w:sz w:val="24"/>
                <w:szCs w:val="24"/>
              </w:rPr>
              <w:t>投标人提供管理制度方案，内容包括但不限于岗位职责管理制度、奖励处罚管理制度、考核测评制度等。</w:t>
            </w:r>
          </w:p>
        </w:tc>
      </w:tr>
      <w:tr w14:paraId="047C8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14:paraId="4C43C2E9">
            <w:pPr>
              <w:jc w:val="center"/>
              <w:rPr>
                <w:rFonts w:ascii="宋体" w:hAnsi="宋体" w:cs="黑体"/>
                <w:sz w:val="24"/>
                <w:szCs w:val="24"/>
              </w:rPr>
            </w:pPr>
            <w:r>
              <w:rPr>
                <w:rFonts w:hint="eastAsia" w:ascii="宋体" w:hAnsi="宋体" w:cs="黑体"/>
                <w:sz w:val="24"/>
                <w:szCs w:val="24"/>
              </w:rPr>
              <w:t>服务质量保障措施</w:t>
            </w:r>
          </w:p>
        </w:tc>
        <w:tc>
          <w:tcPr>
            <w:tcW w:w="7938" w:type="dxa"/>
          </w:tcPr>
          <w:p w14:paraId="5422179C">
            <w:pPr>
              <w:rPr>
                <w:rFonts w:ascii="宋体" w:hAnsi="宋体" w:cs="黑体"/>
                <w:sz w:val="24"/>
                <w:szCs w:val="24"/>
              </w:rPr>
            </w:pPr>
            <w:r>
              <w:rPr>
                <w:rFonts w:hint="eastAsia" w:ascii="宋体" w:hAnsi="宋体" w:cs="黑体"/>
                <w:sz w:val="24"/>
                <w:szCs w:val="24"/>
              </w:rPr>
              <w:t>投标人提供服务质量保障措施，内容包括但不仅限于服务质量保障措施、日常工作管理保障措施等。</w:t>
            </w:r>
          </w:p>
        </w:tc>
      </w:tr>
    </w:tbl>
    <w:p w14:paraId="3797FF8A">
      <w:pPr>
        <w:rPr>
          <w:rFonts w:ascii="宋体" w:hAnsi="宋体" w:cs="黑体"/>
          <w:b/>
          <w:bCs/>
          <w:sz w:val="24"/>
          <w:szCs w:val="24"/>
        </w:rPr>
      </w:pPr>
    </w:p>
    <w:p w14:paraId="4CAE1BE6">
      <w:pPr>
        <w:spacing w:line="360" w:lineRule="auto"/>
        <w:rPr>
          <w:rFonts w:ascii="宋体" w:hAnsi="宋体" w:cs="黑体"/>
          <w:b/>
          <w:bCs/>
          <w:sz w:val="24"/>
          <w:szCs w:val="24"/>
        </w:rPr>
      </w:pPr>
      <w:r>
        <w:rPr>
          <w:rFonts w:hint="eastAsia" w:ascii="宋体" w:hAnsi="宋体" w:cs="黑体"/>
          <w:b/>
          <w:bCs/>
          <w:sz w:val="24"/>
          <w:szCs w:val="24"/>
        </w:rPr>
        <w:t>(3)商务分</w:t>
      </w:r>
    </w:p>
    <w:tbl>
      <w:tblPr>
        <w:tblStyle w:val="8"/>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3"/>
        <w:gridCol w:w="7427"/>
      </w:tblGrid>
      <w:tr w14:paraId="66530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53" w:type="dxa"/>
            <w:vAlign w:val="center"/>
          </w:tcPr>
          <w:p w14:paraId="4792F0F1">
            <w:pPr>
              <w:jc w:val="center"/>
              <w:rPr>
                <w:rFonts w:ascii="宋体" w:hAnsi="宋体" w:cs="黑体"/>
                <w:sz w:val="24"/>
                <w:szCs w:val="24"/>
              </w:rPr>
            </w:pPr>
            <w:r>
              <w:rPr>
                <w:rFonts w:hint="eastAsia" w:ascii="宋体" w:hAnsi="宋体" w:cs="黑体"/>
                <w:sz w:val="24"/>
                <w:szCs w:val="24"/>
              </w:rPr>
              <w:t>评审因素</w:t>
            </w:r>
          </w:p>
        </w:tc>
        <w:tc>
          <w:tcPr>
            <w:tcW w:w="7427" w:type="dxa"/>
            <w:vAlign w:val="center"/>
          </w:tcPr>
          <w:p w14:paraId="7D036E0F">
            <w:pPr>
              <w:jc w:val="center"/>
              <w:rPr>
                <w:rFonts w:ascii="宋体" w:hAnsi="宋体" w:cs="黑体"/>
                <w:sz w:val="24"/>
                <w:szCs w:val="24"/>
              </w:rPr>
            </w:pPr>
            <w:r>
              <w:rPr>
                <w:rFonts w:hint="eastAsia" w:ascii="宋体" w:hAnsi="宋体" w:cs="黑体"/>
                <w:sz w:val="24"/>
                <w:szCs w:val="24"/>
              </w:rPr>
              <w:t>评审标准</w:t>
            </w:r>
          </w:p>
        </w:tc>
      </w:tr>
      <w:tr w14:paraId="70B7B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3" w:type="dxa"/>
            <w:vAlign w:val="center"/>
          </w:tcPr>
          <w:p w14:paraId="49E7FB68">
            <w:pPr>
              <w:jc w:val="center"/>
              <w:rPr>
                <w:rFonts w:ascii="宋体" w:hAnsi="宋体" w:cs="黑体"/>
                <w:sz w:val="24"/>
                <w:szCs w:val="24"/>
              </w:rPr>
            </w:pPr>
            <w:r>
              <w:rPr>
                <w:rFonts w:hint="eastAsia" w:ascii="宋体" w:hAnsi="宋体" w:cs="黑体"/>
                <w:sz w:val="24"/>
                <w:szCs w:val="24"/>
              </w:rPr>
              <w:t>体系认证</w:t>
            </w:r>
          </w:p>
        </w:tc>
        <w:tc>
          <w:tcPr>
            <w:tcW w:w="7427" w:type="dxa"/>
          </w:tcPr>
          <w:p w14:paraId="5A8691D8">
            <w:pPr>
              <w:rPr>
                <w:rFonts w:ascii="宋体" w:hAnsi="宋体" w:cs="黑体"/>
                <w:sz w:val="24"/>
                <w:szCs w:val="24"/>
              </w:rPr>
            </w:pPr>
            <w:r>
              <w:rPr>
                <w:rFonts w:hint="eastAsia" w:ascii="宋体" w:hAnsi="宋体" w:cs="黑体"/>
                <w:sz w:val="24"/>
                <w:szCs w:val="24"/>
              </w:rPr>
              <w:t>投标人提供有效期内的:</w:t>
            </w:r>
          </w:p>
          <w:p w14:paraId="17808FEC">
            <w:pPr>
              <w:tabs>
                <w:tab w:val="left" w:pos="312"/>
              </w:tabs>
              <w:rPr>
                <w:rFonts w:ascii="宋体" w:hAnsi="宋体" w:cs="黑体"/>
                <w:sz w:val="24"/>
                <w:szCs w:val="24"/>
              </w:rPr>
            </w:pPr>
            <w:r>
              <w:rPr>
                <w:rFonts w:hint="eastAsia" w:ascii="宋体" w:hAnsi="宋体" w:cs="黑体"/>
                <w:sz w:val="24"/>
                <w:szCs w:val="24"/>
              </w:rPr>
              <w:t>1、质量管理体系认证证书。</w:t>
            </w:r>
          </w:p>
          <w:p w14:paraId="6DDD84D6">
            <w:pPr>
              <w:tabs>
                <w:tab w:val="left" w:pos="312"/>
              </w:tabs>
              <w:rPr>
                <w:rFonts w:ascii="宋体" w:hAnsi="宋体" w:cs="黑体"/>
                <w:sz w:val="24"/>
                <w:szCs w:val="24"/>
              </w:rPr>
            </w:pPr>
            <w:r>
              <w:rPr>
                <w:rFonts w:ascii="宋体" w:hAnsi="宋体" w:cs="黑体"/>
                <w:sz w:val="24"/>
                <w:szCs w:val="24"/>
              </w:rPr>
              <w:t>2</w:t>
            </w:r>
            <w:r>
              <w:rPr>
                <w:rFonts w:hint="eastAsia" w:ascii="宋体" w:hAnsi="宋体" w:cs="黑体"/>
                <w:sz w:val="24"/>
                <w:szCs w:val="24"/>
              </w:rPr>
              <w:t>、环境管理体系认证证书。</w:t>
            </w:r>
          </w:p>
          <w:p w14:paraId="310AE927">
            <w:pPr>
              <w:tabs>
                <w:tab w:val="left" w:pos="312"/>
              </w:tabs>
              <w:rPr>
                <w:rFonts w:ascii="宋体" w:hAnsi="宋体" w:cs="黑体"/>
                <w:sz w:val="24"/>
                <w:szCs w:val="24"/>
              </w:rPr>
            </w:pPr>
            <w:r>
              <w:rPr>
                <w:rFonts w:hint="eastAsia" w:ascii="宋体" w:hAnsi="宋体" w:cs="黑体"/>
                <w:sz w:val="24"/>
                <w:szCs w:val="24"/>
              </w:rPr>
              <w:t>3、职业健康安全管理体系认证证书。</w:t>
            </w:r>
          </w:p>
        </w:tc>
      </w:tr>
      <w:tr w14:paraId="10C51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53" w:type="dxa"/>
            <w:vAlign w:val="center"/>
          </w:tcPr>
          <w:p w14:paraId="674F59C5">
            <w:pPr>
              <w:jc w:val="center"/>
              <w:rPr>
                <w:rFonts w:ascii="宋体" w:hAnsi="宋体" w:cs="黑体"/>
                <w:sz w:val="24"/>
                <w:szCs w:val="24"/>
              </w:rPr>
            </w:pPr>
            <w:r>
              <w:rPr>
                <w:rFonts w:hint="eastAsia" w:ascii="宋体" w:hAnsi="宋体" w:cs="黑体"/>
                <w:sz w:val="24"/>
                <w:szCs w:val="24"/>
              </w:rPr>
              <w:t>企业荣誉</w:t>
            </w:r>
          </w:p>
        </w:tc>
        <w:tc>
          <w:tcPr>
            <w:tcW w:w="7427" w:type="dxa"/>
          </w:tcPr>
          <w:p w14:paraId="06FF5C26">
            <w:pPr>
              <w:rPr>
                <w:rFonts w:ascii="宋体" w:hAnsi="宋体" w:cs="黑体"/>
                <w:sz w:val="24"/>
                <w:szCs w:val="24"/>
              </w:rPr>
            </w:pPr>
            <w:r>
              <w:rPr>
                <w:rFonts w:hint="eastAsia" w:ascii="宋体" w:hAnsi="宋体" w:cs="黑体"/>
                <w:sz w:val="24"/>
                <w:szCs w:val="24"/>
              </w:rPr>
              <w:t>投标人自2020年1月1日以来(以发证时间为准)获得过省级及以上政府部门颁发的荣誉称号，获得过市级政府部门颁发的荣誉称号。</w:t>
            </w:r>
          </w:p>
        </w:tc>
      </w:tr>
      <w:tr w14:paraId="50A4D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3" w:type="dxa"/>
            <w:vAlign w:val="center"/>
          </w:tcPr>
          <w:p w14:paraId="57A1FE79">
            <w:pPr>
              <w:jc w:val="center"/>
              <w:rPr>
                <w:rFonts w:ascii="宋体" w:hAnsi="宋体" w:cs="黑体"/>
                <w:sz w:val="24"/>
                <w:szCs w:val="24"/>
              </w:rPr>
            </w:pPr>
            <w:r>
              <w:rPr>
                <w:rFonts w:hint="eastAsia" w:ascii="宋体" w:hAnsi="宋体" w:cs="黑体"/>
                <w:sz w:val="24"/>
                <w:szCs w:val="24"/>
              </w:rPr>
              <w:t>企业业绩</w:t>
            </w:r>
          </w:p>
        </w:tc>
        <w:tc>
          <w:tcPr>
            <w:tcW w:w="7427" w:type="dxa"/>
          </w:tcPr>
          <w:p w14:paraId="4DF19664">
            <w:pPr>
              <w:rPr>
                <w:rFonts w:ascii="宋体" w:hAnsi="宋体" w:cs="黑体"/>
                <w:sz w:val="24"/>
                <w:szCs w:val="24"/>
              </w:rPr>
            </w:pPr>
            <w:bookmarkStart w:id="26" w:name="OLE_LINK36"/>
            <w:r>
              <w:rPr>
                <w:rFonts w:hint="eastAsia" w:ascii="宋体" w:hAnsi="宋体" w:cs="黑体"/>
                <w:sz w:val="24"/>
                <w:szCs w:val="24"/>
              </w:rPr>
              <w:t>1、投标人自2020年1月1日(以合同签订日期为准)以来具有校园类保安服务业绩。</w:t>
            </w:r>
          </w:p>
          <w:p w14:paraId="40929C01">
            <w:pPr>
              <w:rPr>
                <w:rFonts w:ascii="宋体" w:hAnsi="宋体" w:cs="黑体"/>
                <w:sz w:val="24"/>
                <w:szCs w:val="24"/>
              </w:rPr>
            </w:pPr>
            <w:r>
              <w:rPr>
                <w:rFonts w:hint="eastAsia" w:ascii="宋体" w:hAnsi="宋体" w:cs="黑体"/>
                <w:sz w:val="24"/>
                <w:szCs w:val="24"/>
              </w:rPr>
              <w:t>2、投标人自2020年1月1日(以合同签订日期为准)以来具有公建类(校园类除外)安保服务业绩。</w:t>
            </w:r>
            <w:bookmarkEnd w:id="26"/>
          </w:p>
        </w:tc>
      </w:tr>
      <w:tr w14:paraId="6AD18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3" w:type="dxa"/>
            <w:vAlign w:val="center"/>
          </w:tcPr>
          <w:p w14:paraId="79BD22F5">
            <w:pPr>
              <w:jc w:val="center"/>
              <w:rPr>
                <w:rFonts w:ascii="宋体" w:hAnsi="宋体" w:cs="黑体"/>
                <w:sz w:val="24"/>
                <w:szCs w:val="24"/>
              </w:rPr>
            </w:pPr>
            <w:r>
              <w:rPr>
                <w:rFonts w:hint="eastAsia" w:ascii="宋体" w:hAnsi="宋体" w:cs="黑体"/>
                <w:sz w:val="24"/>
                <w:szCs w:val="24"/>
              </w:rPr>
              <w:t>项目经理</w:t>
            </w:r>
          </w:p>
        </w:tc>
        <w:tc>
          <w:tcPr>
            <w:tcW w:w="7427" w:type="dxa"/>
          </w:tcPr>
          <w:p w14:paraId="078C1702">
            <w:pPr>
              <w:rPr>
                <w:rFonts w:ascii="宋体" w:hAnsi="宋体" w:cs="黑体"/>
                <w:sz w:val="24"/>
                <w:szCs w:val="24"/>
              </w:rPr>
            </w:pPr>
            <w:r>
              <w:rPr>
                <w:rFonts w:hint="eastAsia" w:ascii="宋体" w:hAnsi="宋体" w:cs="黑体"/>
                <w:sz w:val="24"/>
                <w:szCs w:val="24"/>
              </w:rPr>
              <w:t>拟派项目经理:</w:t>
            </w:r>
          </w:p>
          <w:p w14:paraId="69E64818">
            <w:pPr>
              <w:numPr>
                <w:ilvl w:val="0"/>
                <w:numId w:val="2"/>
              </w:numPr>
              <w:rPr>
                <w:rFonts w:ascii="宋体" w:hAnsi="宋体" w:cs="黑体"/>
                <w:sz w:val="24"/>
                <w:szCs w:val="24"/>
              </w:rPr>
            </w:pPr>
            <w:r>
              <w:rPr>
                <w:rFonts w:hint="eastAsia" w:ascii="宋体" w:hAnsi="宋体" w:cs="黑体"/>
                <w:sz w:val="24"/>
                <w:szCs w:val="24"/>
              </w:rPr>
              <w:t>具有专科及以上学历。</w:t>
            </w:r>
          </w:p>
          <w:p w14:paraId="787C26AE">
            <w:pPr>
              <w:numPr>
                <w:ilvl w:val="0"/>
                <w:numId w:val="2"/>
              </w:numPr>
              <w:rPr>
                <w:rFonts w:ascii="宋体" w:hAnsi="宋体" w:cs="黑体"/>
                <w:sz w:val="24"/>
                <w:szCs w:val="24"/>
              </w:rPr>
            </w:pPr>
            <w:r>
              <w:rPr>
                <w:rFonts w:hint="eastAsia" w:ascii="宋体" w:hAnsi="宋体" w:cs="黑体"/>
                <w:sz w:val="24"/>
                <w:szCs w:val="24"/>
              </w:rPr>
              <w:t>具有高级保安员(三级)及以上证书。</w:t>
            </w:r>
          </w:p>
          <w:p w14:paraId="4DB1D13E">
            <w:pPr>
              <w:numPr>
                <w:ilvl w:val="0"/>
                <w:numId w:val="2"/>
              </w:numPr>
              <w:rPr>
                <w:rFonts w:ascii="宋体" w:hAnsi="宋体" w:cs="黑体"/>
                <w:sz w:val="24"/>
                <w:szCs w:val="24"/>
              </w:rPr>
            </w:pPr>
            <w:r>
              <w:rPr>
                <w:rFonts w:hint="eastAsia" w:ascii="宋体" w:hAnsi="宋体" w:cs="黑体"/>
                <w:sz w:val="24"/>
                <w:szCs w:val="24"/>
              </w:rPr>
              <w:t>具有</w:t>
            </w:r>
            <w:bookmarkStart w:id="27" w:name="OLE_LINK7"/>
            <w:bookmarkStart w:id="28" w:name="OLE_LINK8"/>
            <w:r>
              <w:rPr>
                <w:rFonts w:hint="eastAsia" w:ascii="宋体" w:hAnsi="宋体" w:cs="黑体"/>
                <w:sz w:val="24"/>
                <w:szCs w:val="24"/>
              </w:rPr>
              <w:t>中级及以上消防设施操作员</w:t>
            </w:r>
            <w:bookmarkEnd w:id="27"/>
            <w:bookmarkEnd w:id="28"/>
            <w:r>
              <w:rPr>
                <w:rFonts w:hint="eastAsia" w:ascii="宋体" w:hAnsi="宋体" w:cs="黑体"/>
                <w:sz w:val="24"/>
                <w:szCs w:val="24"/>
              </w:rPr>
              <w:t>证书。</w:t>
            </w:r>
          </w:p>
        </w:tc>
      </w:tr>
      <w:tr w14:paraId="51B10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3" w:type="dxa"/>
            <w:vAlign w:val="center"/>
          </w:tcPr>
          <w:p w14:paraId="750144C3">
            <w:pPr>
              <w:jc w:val="center"/>
              <w:rPr>
                <w:rFonts w:ascii="宋体" w:hAnsi="宋体" w:cs="黑体"/>
                <w:sz w:val="24"/>
                <w:szCs w:val="24"/>
              </w:rPr>
            </w:pPr>
            <w:r>
              <w:rPr>
                <w:rFonts w:hint="eastAsia" w:ascii="宋体" w:hAnsi="宋体" w:cs="黑体"/>
                <w:sz w:val="24"/>
                <w:szCs w:val="24"/>
              </w:rPr>
              <w:t>团队人员</w:t>
            </w:r>
          </w:p>
        </w:tc>
        <w:tc>
          <w:tcPr>
            <w:tcW w:w="7427" w:type="dxa"/>
          </w:tcPr>
          <w:p w14:paraId="724E64A7">
            <w:pPr>
              <w:rPr>
                <w:rFonts w:ascii="宋体" w:hAnsi="宋体" w:cs="黑体"/>
                <w:sz w:val="24"/>
                <w:szCs w:val="24"/>
              </w:rPr>
            </w:pPr>
            <w:r>
              <w:rPr>
                <w:rFonts w:hint="eastAsia" w:ascii="宋体" w:hAnsi="宋体" w:cs="黑体"/>
                <w:sz w:val="24"/>
                <w:szCs w:val="24"/>
              </w:rPr>
              <w:t>1、拟派队员中具有</w:t>
            </w:r>
            <w:bookmarkStart w:id="29" w:name="OLE_LINK14"/>
            <w:bookmarkStart w:id="30" w:name="OLE_LINK13"/>
            <w:r>
              <w:rPr>
                <w:rFonts w:hint="eastAsia" w:ascii="宋体" w:hAnsi="宋体" w:cs="黑体"/>
                <w:sz w:val="24"/>
                <w:szCs w:val="24"/>
              </w:rPr>
              <w:t>高级保安员(三级)及以上证书</w:t>
            </w:r>
            <w:bookmarkEnd w:id="29"/>
            <w:bookmarkEnd w:id="30"/>
            <w:r>
              <w:rPr>
                <w:rFonts w:hint="eastAsia" w:ascii="宋体" w:hAnsi="宋体" w:cs="黑体"/>
                <w:sz w:val="24"/>
                <w:szCs w:val="24"/>
              </w:rPr>
              <w:t>，每有中级保安员(四级)证书。</w:t>
            </w:r>
          </w:p>
          <w:p w14:paraId="0B5613F1">
            <w:pPr>
              <w:rPr>
                <w:rFonts w:ascii="宋体" w:hAnsi="宋体" w:cs="黑体"/>
                <w:sz w:val="24"/>
                <w:szCs w:val="24"/>
              </w:rPr>
            </w:pPr>
            <w:r>
              <w:rPr>
                <w:rFonts w:hint="eastAsia" w:ascii="宋体" w:hAnsi="宋体" w:cs="黑体"/>
                <w:sz w:val="24"/>
                <w:szCs w:val="24"/>
              </w:rPr>
              <w:t>2、拟派队员中具有消防设施操作员证(四级)及以上证书。</w:t>
            </w:r>
          </w:p>
          <w:p w14:paraId="03B5D56B">
            <w:pPr>
              <w:rPr>
                <w:rFonts w:ascii="宋体" w:hAnsi="宋体" w:cs="黑体"/>
                <w:sz w:val="24"/>
                <w:szCs w:val="24"/>
              </w:rPr>
            </w:pPr>
            <w:r>
              <w:rPr>
                <w:rFonts w:hint="eastAsia" w:ascii="宋体" w:hAnsi="宋体" w:cs="黑体"/>
                <w:b/>
                <w:bCs/>
                <w:sz w:val="24"/>
                <w:szCs w:val="24"/>
              </w:rPr>
              <w:t>注:上述队员一人多证的不重复计取，仅计其中一项得分，投标文件中提供相关证书和2026年1月(含)以来任意一个月由投标人为其缴纳的社保证明材料并加盖公章，否则不得分。</w:t>
            </w:r>
          </w:p>
        </w:tc>
      </w:tr>
    </w:tbl>
    <w:p w14:paraId="2BFC565C">
      <w:pPr>
        <w:spacing w:line="273" w:lineRule="auto"/>
        <w:ind w:firstLine="480"/>
        <w:jc w:val="left"/>
        <w:rPr>
          <w:rFonts w:ascii="宋体" w:hAnsi="宋体"/>
          <w:color w:val="auto"/>
          <w:sz w:val="24"/>
          <w:szCs w:val="24"/>
        </w:rPr>
      </w:pPr>
      <w:r>
        <w:rPr>
          <w:rFonts w:hint="eastAsia" w:ascii="宋体" w:hAnsi="宋体"/>
          <w:color w:val="auto"/>
          <w:sz w:val="24"/>
          <w:szCs w:val="24"/>
        </w:rPr>
        <w:t>说明：1、</w:t>
      </w:r>
      <w:r>
        <w:rPr>
          <w:rFonts w:hint="eastAsia" w:ascii="宋体" w:hAnsi="宋体"/>
          <w:b/>
          <w:bCs/>
          <w:color w:val="auto"/>
          <w:sz w:val="24"/>
          <w:szCs w:val="24"/>
        </w:rPr>
        <w:t>保安员</w:t>
      </w:r>
      <w:r>
        <w:rPr>
          <w:rFonts w:hint="eastAsia" w:ascii="宋体" w:hAnsi="宋体"/>
          <w:color w:val="auto"/>
          <w:sz w:val="24"/>
          <w:szCs w:val="24"/>
        </w:rPr>
        <w:t>分为：初级保安员（五级）、中级保安员（四级）、高级保安员（三级）、保安师（二级）、高级保安师（一级）</w:t>
      </w:r>
    </w:p>
    <w:p w14:paraId="12D68210">
      <w:pPr>
        <w:keepNext w:val="0"/>
        <w:keepLines w:val="0"/>
        <w:pageBreakBefore w:val="0"/>
        <w:kinsoku w:val="0"/>
        <w:wordWrap/>
        <w:overflowPunct/>
        <w:topLinePunct w:val="0"/>
        <w:autoSpaceDE w:val="0"/>
        <w:autoSpaceDN w:val="0"/>
        <w:bidi w:val="0"/>
        <w:adjustRightInd w:val="0"/>
        <w:snapToGrid w:val="0"/>
        <w:spacing w:line="360" w:lineRule="auto"/>
        <w:jc w:val="left"/>
        <w:textAlignment w:val="baseline"/>
        <w:rPr>
          <w:rFonts w:hint="eastAsia" w:ascii="Times New Roman" w:hAnsi="Times New Roman" w:eastAsia="新宋体"/>
          <w:b w:val="0"/>
          <w:bCs w:val="0"/>
          <w:i w:val="0"/>
          <w:iCs w:val="0"/>
          <w:color w:val="auto"/>
          <w:sz w:val="24"/>
          <w:szCs w:val="24"/>
          <w:highlight w:val="none"/>
          <w:u w:val="none"/>
        </w:rPr>
      </w:pPr>
      <w:r>
        <w:rPr>
          <w:rFonts w:hint="eastAsia" w:ascii="宋体" w:hAnsi="宋体"/>
          <w:color w:val="auto"/>
          <w:sz w:val="24"/>
          <w:szCs w:val="24"/>
        </w:rPr>
        <w:t>2、</w:t>
      </w:r>
      <w:r>
        <w:rPr>
          <w:rFonts w:hint="eastAsia" w:ascii="宋体" w:hAnsi="宋体"/>
          <w:b/>
          <w:bCs/>
          <w:color w:val="auto"/>
          <w:sz w:val="24"/>
          <w:szCs w:val="24"/>
        </w:rPr>
        <w:t>建（构）筑物消防员（现为消防设施操作员）</w:t>
      </w:r>
      <w:r>
        <w:rPr>
          <w:rFonts w:hint="eastAsia" w:ascii="宋体" w:hAnsi="宋体"/>
          <w:color w:val="auto"/>
          <w:sz w:val="24"/>
          <w:szCs w:val="24"/>
        </w:rPr>
        <w:t>分为：初级消防设施操作员（五级）、中级消防设施操作员（四级）、高级消防设施操作员（三级）、消防设施操作技师（二级）、消防设施操作高级技师（</w:t>
      </w:r>
      <w:bookmarkStart w:id="31" w:name="_GoBack"/>
      <w:bookmarkEnd w:id="31"/>
      <w:r>
        <w:rPr>
          <w:rFonts w:hint="eastAsia" w:ascii="宋体" w:hAnsi="宋体"/>
          <w:color w:val="auto"/>
          <w:sz w:val="24"/>
          <w:szCs w:val="24"/>
        </w:rPr>
        <w:t>一级）</w:t>
      </w:r>
    </w:p>
    <w:sectPr>
      <w:footerReference r:id="rId5" w:type="default"/>
      <w:pgSz w:w="11900" w:h="16830"/>
      <w:pgMar w:top="1430" w:right="1785" w:bottom="1223" w:left="1375" w:header="0" w:footer="106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681F8C1-BE2B-43D6-BB56-07C124311FD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C43176BF-453A-4651-8E0D-50A8B4850831}"/>
  </w:font>
  <w:font w:name="MS Mincho">
    <w:altName w:val="Yu Gothic UI"/>
    <w:panose1 w:val="02020609040205080304"/>
    <w:charset w:val="80"/>
    <w:family w:val="auto"/>
    <w:pitch w:val="default"/>
    <w:sig w:usb0="00000000" w:usb1="00000000" w:usb2="00000012" w:usb3="00000000" w:csb0="4002009F" w:csb1="DFD70000"/>
  </w:font>
  <w:font w:name="方正小标宋简体">
    <w:panose1 w:val="02010600010101010101"/>
    <w:charset w:val="86"/>
    <w:family w:val="auto"/>
    <w:pitch w:val="default"/>
    <w:sig w:usb0="00000001" w:usb1="080E0000" w:usb2="00000000" w:usb3="00000000" w:csb0="00040000" w:csb1="00000000"/>
    <w:embedRegular r:id="rId3" w:fontKey="{C3E33A3D-22E9-4F88-8B97-B42678D805DA}"/>
  </w:font>
  <w:font w:name="新宋体">
    <w:panose1 w:val="02010609030101010101"/>
    <w:charset w:val="86"/>
    <w:family w:val="auto"/>
    <w:pitch w:val="default"/>
    <w:sig w:usb0="00000203" w:usb1="288F0000" w:usb2="00000006" w:usb3="00000000" w:csb0="00040001" w:csb1="00000000"/>
    <w:embedRegular r:id="rId4" w:fontKey="{CB0832CF-625E-4DC6-BF6B-3BE1E9BD6D9D}"/>
  </w:font>
  <w:font w:name="仿宋_GB2312">
    <w:panose1 w:val="02010609030101010101"/>
    <w:charset w:val="86"/>
    <w:family w:val="auto"/>
    <w:pitch w:val="default"/>
    <w:sig w:usb0="00000001" w:usb1="080E0000" w:usb2="00000000" w:usb3="00000000" w:csb0="00040000" w:csb1="00000000"/>
    <w:embedRegular r:id="rId5" w:fontKey="{A32FA3E9-5594-40E6-B204-C94BBD4B9834}"/>
  </w:font>
  <w:font w:name="仿宋">
    <w:panose1 w:val="02010609060101010101"/>
    <w:charset w:val="86"/>
    <w:family w:val="auto"/>
    <w:pitch w:val="default"/>
    <w:sig w:usb0="800002BF" w:usb1="38CF7CFA" w:usb2="00000016" w:usb3="00000000" w:csb0="00040001" w:csb1="00000000"/>
    <w:embedRegular r:id="rId6" w:fontKey="{0016C3CD-09DA-49BB-A47C-641E3AB0E5E5}"/>
  </w:font>
  <w:font w:name="Yu Gothic UI">
    <w:panose1 w:val="020B0500000000000000"/>
    <w:charset w:val="80"/>
    <w:family w:val="auto"/>
    <w:pitch w:val="default"/>
    <w:sig w:usb0="E00002FF" w:usb1="2AC7FDFF" w:usb2="00000016" w:usb3="00000000" w:csb0="2002009F" w:csb1="00000000"/>
  </w:font>
  <w:font w:name="方正黑体_GBK">
    <w:panose1 w:val="03000509000000000000"/>
    <w:charset w:val="86"/>
    <w:family w:val="auto"/>
    <w:pitch w:val="default"/>
    <w:sig w:usb0="00000001" w:usb1="080E0000" w:usb2="00000000" w:usb3="00000000" w:csb0="00040000" w:csb1="00000000"/>
    <w:embedRegular r:id="rId7" w:fontKey="{D8218D71-2623-4824-A452-561FD09C4363}"/>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5FAB0">
    <w:pPr>
      <w:spacing w:line="176" w:lineRule="auto"/>
      <w:ind w:left="4554"/>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674E9C"/>
    <w:multiLevelType w:val="multilevel"/>
    <w:tmpl w:val="2B674E9C"/>
    <w:lvl w:ilvl="0" w:tentative="0">
      <w:start w:val="6"/>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6C950FB0"/>
    <w:multiLevelType w:val="singleLevel"/>
    <w:tmpl w:val="6C950FB0"/>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B86720"/>
    <w:rsid w:val="04800365"/>
    <w:rsid w:val="09B80963"/>
    <w:rsid w:val="139A2325"/>
    <w:rsid w:val="15907DF5"/>
    <w:rsid w:val="1F324441"/>
    <w:rsid w:val="20275854"/>
    <w:rsid w:val="295A3B9E"/>
    <w:rsid w:val="2D1340FE"/>
    <w:rsid w:val="45F80F41"/>
    <w:rsid w:val="49E75BCD"/>
    <w:rsid w:val="52583A87"/>
    <w:rsid w:val="5A467F6C"/>
    <w:rsid w:val="5A941D0F"/>
    <w:rsid w:val="673B4500"/>
    <w:rsid w:val="6A8D4C7D"/>
    <w:rsid w:val="6E3C2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annotation text"/>
    <w:basedOn w:val="1"/>
    <w:unhideWhenUsed/>
    <w:qFormat/>
    <w:uiPriority w:val="0"/>
    <w:pPr>
      <w:jc w:val="left"/>
    </w:pPr>
  </w:style>
  <w:style w:type="paragraph" w:styleId="3">
    <w:name w:val="Body Text"/>
    <w:basedOn w:val="1"/>
    <w:next w:val="1"/>
    <w:semiHidden/>
    <w:qFormat/>
    <w:uiPriority w:val="0"/>
    <w:rPr>
      <w:rFonts w:ascii="Arial" w:hAnsi="Arial" w:eastAsia="Arial" w:cs="Arial"/>
      <w:sz w:val="21"/>
      <w:szCs w:val="21"/>
      <w:lang w:val="en-US" w:eastAsia="en-US" w:bidi="ar-SA"/>
    </w:rPr>
  </w:style>
  <w:style w:type="paragraph" w:styleId="4">
    <w:name w:val="Plain Text"/>
    <w:basedOn w:val="1"/>
    <w:qFormat/>
    <w:uiPriority w:val="0"/>
    <w:rPr>
      <w:rFonts w:ascii="宋体" w:hAnsi="Courier New"/>
      <w:szCs w:val="20"/>
    </w:rPr>
  </w:style>
  <w:style w:type="paragraph" w:styleId="5">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宋体" w:hAnsi="宋体"/>
    </w:rPr>
  </w:style>
  <w:style w:type="paragraph" w:styleId="6">
    <w:name w:val="Normal (Web)"/>
    <w:basedOn w:val="1"/>
    <w:unhideWhenUsed/>
    <w:qFormat/>
    <w:uiPriority w:val="99"/>
    <w:pPr>
      <w:spacing w:before="100" w:beforeAutospacing="1" w:after="100" w:afterAutospacing="1"/>
      <w:jc w:val="left"/>
    </w:pPr>
    <w:rPr>
      <w:sz w:val="24"/>
      <w:szCs w:val="20"/>
    </w:rPr>
  </w:style>
  <w:style w:type="paragraph" w:styleId="7">
    <w:name w:val="Body Text First Indent"/>
    <w:basedOn w:val="3"/>
    <w:unhideWhenUsed/>
    <w:qFormat/>
    <w:uiPriority w:val="99"/>
    <w:pPr>
      <w:widowControl/>
      <w:ind w:firstLine="420"/>
      <w:jc w:val="left"/>
    </w:pPr>
    <w:rPr>
      <w:rFonts w:ascii="Arial" w:hAnsi="Arial" w:eastAsia="Arial" w:cs="Arial"/>
      <w:color w:val="000000"/>
      <w:szCs w:val="21"/>
      <w:lang w:eastAsia="en-US"/>
    </w:rPr>
  </w:style>
  <w:style w:type="character" w:styleId="10">
    <w:name w:val="page number"/>
    <w:qFormat/>
    <w:uiPriority w:val="0"/>
  </w:style>
  <w:style w:type="paragraph" w:customStyle="1" w:styleId="11">
    <w:name w:val="首行缩进"/>
    <w:basedOn w:val="1"/>
    <w:qFormat/>
    <w:uiPriority w:val="0"/>
    <w:pPr>
      <w:spacing w:line="240" w:lineRule="auto"/>
      <w:ind w:firstLine="480"/>
    </w:pPr>
    <w:rPr>
      <w:sz w:val="21"/>
      <w:lang w:val="zh-CN"/>
    </w:rPr>
  </w:style>
  <w:style w:type="paragraph" w:customStyle="1" w:styleId="12">
    <w:name w:val="Table Text"/>
    <w:basedOn w:val="1"/>
    <w:semiHidden/>
    <w:qFormat/>
    <w:uiPriority w:val="0"/>
    <w:rPr>
      <w:rFonts w:ascii="宋体" w:hAnsi="宋体" w:cs="宋体"/>
      <w:sz w:val="20"/>
      <w:szCs w:val="20"/>
      <w:lang w:eastAsia="en-US"/>
    </w:rPr>
  </w:style>
  <w:style w:type="table" w:customStyle="1" w:styleId="13">
    <w:name w:val="Table Normal"/>
    <w:unhideWhenUsed/>
    <w:qFormat/>
    <w:uiPriority w:val="0"/>
    <w:tblPr>
      <w:tblCellMar>
        <w:top w:w="0" w:type="dxa"/>
        <w:left w:w="0" w:type="dxa"/>
        <w:bottom w:w="0" w:type="dxa"/>
        <w:right w:w="0" w:type="dxa"/>
      </w:tblCellMar>
    </w:tblPr>
  </w:style>
  <w:style w:type="paragraph" w:customStyle="1" w:styleId="14">
    <w:name w:val="Default"/>
    <w:qFormat/>
    <w:uiPriority w:val="99"/>
    <w:pPr>
      <w:widowControl w:val="0"/>
    </w:pPr>
    <w:rPr>
      <w:rFonts w:ascii="MS Mincho" w:hAnsi="Calibri" w:eastAsia="宋体" w:cs="Times New Roman"/>
      <w:color w:val="000000"/>
      <w:szCs w:val="24"/>
      <w:lang w:val="en-US" w:eastAsia="zh-CN" w:bidi="ar-SA"/>
    </w:rPr>
  </w:style>
  <w:style w:type="paragraph" w:customStyle="1" w:styleId="15">
    <w:name w:val="Normal_48"/>
    <w:qFormat/>
    <w:uiPriority w:val="99"/>
    <w:pPr>
      <w:spacing w:before="120" w:after="240"/>
      <w:jc w:val="both"/>
    </w:pPr>
    <w:rPr>
      <w:rFonts w:ascii="Times New Roman" w:hAnsi="Times New Roman" w:eastAsia="宋体" w:cs="Times New Roman"/>
      <w:sz w:val="22"/>
      <w:szCs w:val="22"/>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801</Words>
  <Characters>886</Characters>
  <Lines>0</Lines>
  <Paragraphs>0</Paragraphs>
  <TotalTime>17</TotalTime>
  <ScaleCrop>false</ScaleCrop>
  <LinksUpToDate>false</LinksUpToDate>
  <CharactersWithSpaces>890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2026-05-20T08:23:00Z</dcterms:created>
  <dc:creator>Administrator</dc:creator>
  <cp:lastModifiedBy>影河</cp:lastModifiedBy>
  <dcterms:modified xsi:type="dcterms:W3CDTF">2026-06-05T12:04:33Z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eyJoZGlkIjoiYTQ4OGUyYmM5NjI1NGE4ODQxMTMyNDNmYTYxM2NlZjAiLCJ1c2VySWQiOiIzOTY1NDg4NjcifQ==</vt:lpwstr>
  </property>
  <property fmtid="{D5CDD505-2E9C-101B-9397-08002B2CF9AE}" pid="4" name="ICV">
    <vt:lpwstr>74BFCE7AC477401DA73BC8C605C38830_13</vt:lpwstr>
  </property>
</Properties>
</file>