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FEF7CA">
      <w:pPr>
        <w:widowControl/>
        <w:jc w:val="center"/>
        <w:rPr>
          <w:b/>
          <w:color w:val="auto"/>
          <w:sz w:val="32"/>
          <w:szCs w:val="32"/>
          <w:highlight w:val="none"/>
        </w:rPr>
      </w:pPr>
      <w:bookmarkStart w:id="2" w:name="_GoBack"/>
      <w:r>
        <w:rPr>
          <w:rFonts w:hint="eastAsia"/>
          <w:b/>
          <w:color w:val="auto"/>
          <w:sz w:val="32"/>
          <w:szCs w:val="32"/>
          <w:highlight w:val="none"/>
        </w:rPr>
        <w:t>第四章 项目（货物或者服务）需求说明</w:t>
      </w:r>
    </w:p>
    <w:p w14:paraId="6474D619">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一、项目背景（或概况）</w:t>
      </w:r>
    </w:p>
    <w:p w14:paraId="7146757D">
      <w:pPr>
        <w:spacing w:line="300" w:lineRule="auto"/>
        <w:ind w:firstLine="420" w:firstLineChars="200"/>
        <w:rPr>
          <w:rFonts w:ascii="宋体" w:hAnsi="宋体"/>
          <w:color w:val="auto"/>
          <w:szCs w:val="21"/>
          <w:highlight w:val="none"/>
        </w:rPr>
      </w:pPr>
      <w:r>
        <w:rPr>
          <w:rFonts w:hint="eastAsia" w:ascii="宋体" w:hAnsi="宋体"/>
          <w:color w:val="auto"/>
          <w:szCs w:val="21"/>
          <w:highlight w:val="none"/>
        </w:rPr>
        <w:t>立足海洋技术与测绘学院气象专业建设发展需求，为深化实践育人体系、提升气象学科科研创新能力、填补学校地面气象综合观测设施空白，学院拟建设专业化气象要素观测平台。项目实施将进一步健全学校气象观测装备体系，为气象专业理论教学、野外实操实训、近海海气相互作用研究提供稳定、标准化的长期观测数据源。平台建设方案、观测性能指标严格执行中国气象局地面观测系列规范，实现观测数据采集、传输标准化、规范化。</w:t>
      </w:r>
    </w:p>
    <w:p w14:paraId="371638A4">
      <w:pPr>
        <w:spacing w:line="300" w:lineRule="auto"/>
        <w:ind w:firstLine="480" w:firstLineChars="200"/>
        <w:rPr>
          <w:rFonts w:ascii="宋体" w:hAnsi="宋体"/>
          <w:color w:val="auto"/>
          <w:sz w:val="24"/>
          <w:highlight w:val="none"/>
        </w:rPr>
      </w:pPr>
    </w:p>
    <w:p w14:paraId="6A87CBB5">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二、货物（标的）采购清单内核心产品</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3402"/>
        <w:gridCol w:w="816"/>
        <w:gridCol w:w="885"/>
      </w:tblGrid>
      <w:tr w14:paraId="3B96A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vAlign w:val="center"/>
          </w:tcPr>
          <w:p w14:paraId="769EE0AD">
            <w:pPr>
              <w:widowControl/>
              <w:jc w:val="center"/>
              <w:rPr>
                <w:rFonts w:ascii="宋体" w:hAnsi="宋体" w:cs="Helvetica"/>
                <w:b/>
                <w:color w:val="auto"/>
                <w:sz w:val="24"/>
                <w:highlight w:val="none"/>
              </w:rPr>
            </w:pPr>
            <w:r>
              <w:rPr>
                <w:rFonts w:hint="eastAsia" w:ascii="宋体" w:hAnsi="宋体" w:cs="Helvetica"/>
                <w:b/>
                <w:color w:val="auto"/>
                <w:sz w:val="24"/>
                <w:highlight w:val="none"/>
              </w:rPr>
              <w:t>序号</w:t>
            </w:r>
          </w:p>
        </w:tc>
        <w:tc>
          <w:tcPr>
            <w:tcW w:w="3402" w:type="dxa"/>
            <w:vAlign w:val="center"/>
          </w:tcPr>
          <w:p w14:paraId="481E4BB3">
            <w:pPr>
              <w:widowControl/>
              <w:jc w:val="center"/>
              <w:rPr>
                <w:rFonts w:ascii="宋体" w:hAnsi="宋体" w:cs="Helvetica"/>
                <w:b/>
                <w:color w:val="auto"/>
                <w:sz w:val="24"/>
                <w:highlight w:val="none"/>
              </w:rPr>
            </w:pPr>
            <w:r>
              <w:rPr>
                <w:rFonts w:hint="eastAsia" w:ascii="宋体" w:hAnsi="宋体" w:cs="Helvetica"/>
                <w:b/>
                <w:color w:val="auto"/>
                <w:sz w:val="24"/>
                <w:highlight w:val="none"/>
              </w:rPr>
              <w:t>货物名称</w:t>
            </w:r>
          </w:p>
        </w:tc>
        <w:tc>
          <w:tcPr>
            <w:tcW w:w="816" w:type="dxa"/>
            <w:vAlign w:val="center"/>
          </w:tcPr>
          <w:p w14:paraId="4D4AFFCC">
            <w:pPr>
              <w:widowControl/>
              <w:jc w:val="center"/>
              <w:rPr>
                <w:rFonts w:ascii="宋体" w:hAnsi="Calibri"/>
                <w:b/>
                <w:color w:val="auto"/>
                <w:sz w:val="24"/>
                <w:highlight w:val="none"/>
              </w:rPr>
            </w:pPr>
            <w:r>
              <w:rPr>
                <w:rFonts w:hint="eastAsia" w:ascii="Calibri" w:hAnsi="Calibri"/>
                <w:b/>
                <w:color w:val="auto"/>
                <w:sz w:val="24"/>
                <w:highlight w:val="none"/>
              </w:rPr>
              <w:t>数量</w:t>
            </w:r>
          </w:p>
        </w:tc>
        <w:tc>
          <w:tcPr>
            <w:tcW w:w="885" w:type="dxa"/>
            <w:vAlign w:val="center"/>
          </w:tcPr>
          <w:p w14:paraId="514412EB">
            <w:pPr>
              <w:widowControl/>
              <w:jc w:val="center"/>
              <w:rPr>
                <w:rFonts w:ascii="Calibri" w:hAnsi="Calibri"/>
                <w:b/>
                <w:color w:val="auto"/>
                <w:sz w:val="24"/>
                <w:highlight w:val="none"/>
              </w:rPr>
            </w:pPr>
            <w:r>
              <w:rPr>
                <w:rFonts w:hint="eastAsia" w:ascii="Calibri" w:hAnsi="Calibri"/>
                <w:b/>
                <w:color w:val="auto"/>
                <w:sz w:val="24"/>
                <w:highlight w:val="none"/>
              </w:rPr>
              <w:t>单位</w:t>
            </w:r>
          </w:p>
        </w:tc>
      </w:tr>
      <w:tr w14:paraId="4B28B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5" w:type="dxa"/>
          </w:tcPr>
          <w:p w14:paraId="1E2E9CE0">
            <w:pPr>
              <w:widowControl/>
              <w:jc w:val="center"/>
              <w:rPr>
                <w:rFonts w:ascii="宋体" w:hAnsi="宋体" w:cs="Helvetica"/>
                <w:color w:val="auto"/>
                <w:sz w:val="24"/>
                <w:highlight w:val="none"/>
              </w:rPr>
            </w:pPr>
            <w:r>
              <w:rPr>
                <w:rFonts w:hint="eastAsia" w:ascii="宋体" w:hAnsi="宋体" w:cs="Helvetica"/>
                <w:color w:val="auto"/>
                <w:sz w:val="24"/>
                <w:highlight w:val="none"/>
              </w:rPr>
              <w:t>1</w:t>
            </w:r>
          </w:p>
        </w:tc>
        <w:tc>
          <w:tcPr>
            <w:tcW w:w="3402" w:type="dxa"/>
            <w:vAlign w:val="center"/>
          </w:tcPr>
          <w:p w14:paraId="7D44F917">
            <w:pPr>
              <w:jc w:val="center"/>
              <w:rPr>
                <w:rFonts w:ascii="宋体" w:hAnsi="宋体" w:cs="宋体"/>
                <w:color w:val="auto"/>
                <w:sz w:val="24"/>
                <w:highlight w:val="none"/>
              </w:rPr>
            </w:pPr>
            <w:r>
              <w:rPr>
                <w:rFonts w:hint="eastAsia" w:ascii="宋体" w:hAnsi="宋体" w:cs="宋体"/>
                <w:color w:val="auto"/>
                <w:szCs w:val="21"/>
                <w:highlight w:val="none"/>
              </w:rPr>
              <w:t>太阳光度计</w:t>
            </w:r>
          </w:p>
        </w:tc>
        <w:tc>
          <w:tcPr>
            <w:tcW w:w="816" w:type="dxa"/>
            <w:vAlign w:val="center"/>
          </w:tcPr>
          <w:p w14:paraId="5A14DEA4">
            <w:pPr>
              <w:jc w:val="center"/>
              <w:rPr>
                <w:rFonts w:ascii="宋体" w:hAnsi="宋体" w:cs="宋体"/>
                <w:color w:val="auto"/>
                <w:sz w:val="24"/>
                <w:highlight w:val="none"/>
              </w:rPr>
            </w:pPr>
            <w:r>
              <w:rPr>
                <w:rFonts w:hint="eastAsia" w:ascii="宋体" w:hAnsi="宋体" w:cs="宋体"/>
                <w:color w:val="auto"/>
                <w:sz w:val="24"/>
                <w:highlight w:val="none"/>
              </w:rPr>
              <w:t>1</w:t>
            </w:r>
          </w:p>
        </w:tc>
        <w:tc>
          <w:tcPr>
            <w:tcW w:w="885" w:type="dxa"/>
            <w:vAlign w:val="center"/>
          </w:tcPr>
          <w:p w14:paraId="6DAE1A02">
            <w:pPr>
              <w:jc w:val="center"/>
              <w:rPr>
                <w:rFonts w:ascii="宋体" w:hAnsi="宋体" w:cs="宋体"/>
                <w:color w:val="auto"/>
                <w:sz w:val="24"/>
                <w:highlight w:val="none"/>
              </w:rPr>
            </w:pPr>
            <w:r>
              <w:rPr>
                <w:rFonts w:hint="eastAsia" w:ascii="宋体" w:hAnsi="宋体" w:cs="宋体"/>
                <w:color w:val="auto"/>
                <w:sz w:val="24"/>
                <w:highlight w:val="none"/>
              </w:rPr>
              <w:t>台</w:t>
            </w:r>
          </w:p>
        </w:tc>
      </w:tr>
    </w:tbl>
    <w:p w14:paraId="73E13169">
      <w:pPr>
        <w:spacing w:line="300" w:lineRule="auto"/>
        <w:ind w:firstLine="420" w:firstLineChars="200"/>
        <w:rPr>
          <w:rFonts w:ascii="宋体" w:hAnsi="宋体"/>
          <w:color w:val="auto"/>
          <w:szCs w:val="21"/>
          <w:highlight w:val="none"/>
        </w:rPr>
      </w:pPr>
    </w:p>
    <w:p w14:paraId="21318647">
      <w:pPr>
        <w:spacing w:line="300" w:lineRule="auto"/>
        <w:ind w:firstLine="480" w:firstLineChars="200"/>
        <w:rPr>
          <w:rFonts w:ascii="宋体" w:hAnsi="宋体"/>
          <w:color w:val="auto"/>
          <w:szCs w:val="21"/>
          <w:highlight w:val="none"/>
        </w:rPr>
      </w:pPr>
      <w:r>
        <w:rPr>
          <w:rFonts w:hint="eastAsia" w:ascii="宋体" w:hAnsi="宋体"/>
          <w:color w:val="auto"/>
          <w:sz w:val="24"/>
          <w:highlight w:val="none"/>
        </w:rPr>
        <w:t>三、货物技术参数及功能指标：所有标</w:t>
      </w:r>
      <w:r>
        <w:rPr>
          <w:rFonts w:hint="eastAsia" w:ascii="宋体" w:hAnsi="宋体"/>
          <w:color w:val="auto"/>
          <w:szCs w:val="21"/>
          <w:highlight w:val="none"/>
        </w:rPr>
        <w:t>▲需要提供官网截图或说明书或彩页并加盖投标人单位公章。</w:t>
      </w:r>
    </w:p>
    <w:tbl>
      <w:tblPr>
        <w:tblStyle w:val="4"/>
        <w:tblW w:w="8477"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739"/>
        <w:gridCol w:w="6030"/>
      </w:tblGrid>
      <w:tr w14:paraId="4E7E6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03F91276">
            <w:pPr>
              <w:widowControl/>
              <w:jc w:val="center"/>
              <w:rPr>
                <w:rFonts w:ascii="宋体" w:hAnsi="宋体" w:cs="Helvetica"/>
                <w:b/>
                <w:color w:val="auto"/>
                <w:sz w:val="24"/>
                <w:highlight w:val="none"/>
              </w:rPr>
            </w:pPr>
            <w:r>
              <w:rPr>
                <w:rFonts w:hint="eastAsia" w:ascii="宋体" w:hAnsi="宋体" w:cs="Helvetica"/>
                <w:b/>
                <w:color w:val="auto"/>
                <w:sz w:val="24"/>
                <w:highlight w:val="none"/>
              </w:rPr>
              <w:t>序号</w:t>
            </w:r>
          </w:p>
        </w:tc>
        <w:tc>
          <w:tcPr>
            <w:tcW w:w="1739" w:type="dxa"/>
            <w:vAlign w:val="center"/>
          </w:tcPr>
          <w:p w14:paraId="0545E2FB">
            <w:pPr>
              <w:widowControl/>
              <w:jc w:val="center"/>
              <w:rPr>
                <w:rFonts w:ascii="宋体" w:hAnsi="宋体" w:cs="Helvetica"/>
                <w:b/>
                <w:color w:val="auto"/>
                <w:sz w:val="24"/>
                <w:highlight w:val="none"/>
              </w:rPr>
            </w:pPr>
            <w:r>
              <w:rPr>
                <w:rFonts w:hint="eastAsia" w:ascii="宋体" w:hAnsi="宋体" w:cs="Helvetica"/>
                <w:b/>
                <w:color w:val="auto"/>
                <w:sz w:val="24"/>
                <w:highlight w:val="none"/>
              </w:rPr>
              <w:t>货物名称</w:t>
            </w:r>
          </w:p>
        </w:tc>
        <w:tc>
          <w:tcPr>
            <w:tcW w:w="6030" w:type="dxa"/>
            <w:vAlign w:val="center"/>
          </w:tcPr>
          <w:p w14:paraId="65216DCE">
            <w:pPr>
              <w:widowControl/>
              <w:jc w:val="center"/>
              <w:rPr>
                <w:rFonts w:ascii="宋体" w:hAnsi="宋体" w:cs="Helvetica"/>
                <w:b/>
                <w:color w:val="auto"/>
                <w:sz w:val="24"/>
                <w:highlight w:val="none"/>
              </w:rPr>
            </w:pPr>
            <w:r>
              <w:rPr>
                <w:rFonts w:hint="eastAsia" w:ascii="宋体" w:hAnsi="宋体" w:cs="Helvetica"/>
                <w:b/>
                <w:color w:val="auto"/>
                <w:sz w:val="24"/>
                <w:highlight w:val="none"/>
              </w:rPr>
              <w:t>技术参数及功能指标</w:t>
            </w:r>
          </w:p>
        </w:tc>
      </w:tr>
      <w:tr w14:paraId="42937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61746FF9">
            <w:pPr>
              <w:widowControl/>
              <w:spacing w:line="400" w:lineRule="exact"/>
              <w:ind w:firstLine="240" w:firstLineChars="100"/>
              <w:rPr>
                <w:rFonts w:ascii="宋体" w:hAnsi="宋体" w:cs="Helvetica"/>
                <w:color w:val="auto"/>
                <w:sz w:val="24"/>
                <w:highlight w:val="none"/>
              </w:rPr>
            </w:pPr>
            <w:r>
              <w:rPr>
                <w:rFonts w:hint="eastAsia" w:ascii="宋体" w:hAnsi="宋体" w:cs="Helvetica"/>
                <w:color w:val="auto"/>
                <w:sz w:val="24"/>
                <w:highlight w:val="none"/>
              </w:rPr>
              <w:t>1</w:t>
            </w:r>
          </w:p>
        </w:tc>
        <w:tc>
          <w:tcPr>
            <w:tcW w:w="1739" w:type="dxa"/>
            <w:shd w:val="clear" w:color="auto" w:fill="auto"/>
            <w:vAlign w:val="center"/>
          </w:tcPr>
          <w:p w14:paraId="4AF8816B">
            <w:pPr>
              <w:rPr>
                <w:rFonts w:ascii="宋体" w:hAnsi="宋体" w:cs="宋体"/>
                <w:color w:val="auto"/>
                <w:kern w:val="0"/>
                <w:sz w:val="20"/>
                <w:szCs w:val="20"/>
                <w:highlight w:val="none"/>
                <w:lang w:bidi="ar"/>
              </w:rPr>
            </w:pPr>
            <w:r>
              <w:rPr>
                <w:rFonts w:hint="eastAsia" w:ascii="宋体" w:hAnsi="宋体" w:cs="宋体"/>
                <w:color w:val="auto"/>
                <w:szCs w:val="21"/>
                <w:highlight w:val="none"/>
              </w:rPr>
              <w:t>数据采集系统</w:t>
            </w:r>
          </w:p>
        </w:tc>
        <w:tc>
          <w:tcPr>
            <w:tcW w:w="6030" w:type="dxa"/>
            <w:shd w:val="clear" w:color="auto" w:fill="auto"/>
            <w:vAlign w:val="center"/>
          </w:tcPr>
          <w:p w14:paraId="3A89B72B">
            <w:pPr>
              <w:rPr>
                <w:color w:val="auto"/>
                <w:szCs w:val="21"/>
                <w:highlight w:val="none"/>
              </w:rPr>
            </w:pPr>
            <w:r>
              <w:rPr>
                <w:rFonts w:hint="eastAsia"/>
                <w:color w:val="auto"/>
                <w:szCs w:val="21"/>
                <w:highlight w:val="none"/>
              </w:rPr>
              <w:t>1、</w:t>
            </w:r>
            <w:r>
              <w:rPr>
                <w:color w:val="auto"/>
                <w:szCs w:val="21"/>
                <w:highlight w:val="none"/>
              </w:rPr>
              <w:t>采用工业级高性能处理器</w:t>
            </w:r>
            <w:r>
              <w:rPr>
                <w:rFonts w:hint="eastAsia"/>
                <w:color w:val="auto"/>
                <w:szCs w:val="21"/>
                <w:highlight w:val="none"/>
              </w:rPr>
              <w:t>，可直接输入各种传感器、标准变送器信号、仪表等输出的模拟信号、电平信号、干湿触点、脉冲信号等；</w:t>
            </w:r>
          </w:p>
          <w:p w14:paraId="5044C988">
            <w:pPr>
              <w:rPr>
                <w:color w:val="auto"/>
                <w:szCs w:val="21"/>
                <w:highlight w:val="none"/>
              </w:rPr>
            </w:pPr>
            <w:r>
              <w:rPr>
                <w:rFonts w:hint="eastAsia"/>
                <w:color w:val="auto"/>
                <w:szCs w:val="21"/>
                <w:highlight w:val="none"/>
              </w:rPr>
              <w:t>2、</w:t>
            </w:r>
            <w:r>
              <w:rPr>
                <w:color w:val="auto"/>
                <w:szCs w:val="21"/>
                <w:highlight w:val="none"/>
              </w:rPr>
              <w:t>设备具有接口防护电路及Watchdog</w:t>
            </w:r>
            <w:r>
              <w:rPr>
                <w:rFonts w:hint="eastAsia"/>
                <w:color w:val="auto"/>
                <w:szCs w:val="21"/>
                <w:highlight w:val="none"/>
              </w:rPr>
              <w:t>；</w:t>
            </w:r>
          </w:p>
          <w:p w14:paraId="79F4493C">
            <w:pPr>
              <w:rPr>
                <w:color w:val="auto"/>
                <w:szCs w:val="21"/>
                <w:highlight w:val="none"/>
              </w:rPr>
            </w:pPr>
            <w:r>
              <w:rPr>
                <w:rFonts w:hint="eastAsia"/>
                <w:color w:val="auto"/>
                <w:szCs w:val="21"/>
                <w:highlight w:val="none"/>
              </w:rPr>
              <w:t>3、</w:t>
            </w:r>
            <w:r>
              <w:rPr>
                <w:color w:val="auto"/>
                <w:szCs w:val="21"/>
                <w:highlight w:val="none"/>
              </w:rPr>
              <w:t>以太网+4G网络+WiFi网络，多种网络连接方式</w:t>
            </w:r>
            <w:r>
              <w:rPr>
                <w:rFonts w:hint="eastAsia"/>
                <w:color w:val="auto"/>
                <w:szCs w:val="21"/>
                <w:highlight w:val="none"/>
              </w:rPr>
              <w:t>；</w:t>
            </w:r>
          </w:p>
          <w:p w14:paraId="2BAA730B">
            <w:pPr>
              <w:rPr>
                <w:color w:val="auto"/>
                <w:szCs w:val="21"/>
                <w:highlight w:val="none"/>
              </w:rPr>
            </w:pPr>
            <w:r>
              <w:rPr>
                <w:rFonts w:hint="eastAsia"/>
                <w:color w:val="auto"/>
                <w:szCs w:val="21"/>
                <w:highlight w:val="none"/>
              </w:rPr>
              <w:t>4、</w:t>
            </w:r>
            <w:r>
              <w:rPr>
                <w:color w:val="auto"/>
                <w:szCs w:val="21"/>
                <w:highlight w:val="none"/>
              </w:rPr>
              <w:t>可外接北斗、超短波等通信方式</w:t>
            </w:r>
            <w:r>
              <w:rPr>
                <w:rFonts w:hint="eastAsia"/>
                <w:color w:val="auto"/>
                <w:szCs w:val="21"/>
                <w:highlight w:val="none"/>
              </w:rPr>
              <w:t>；</w:t>
            </w:r>
          </w:p>
          <w:p w14:paraId="450C245E">
            <w:pPr>
              <w:rPr>
                <w:color w:val="auto"/>
                <w:szCs w:val="21"/>
                <w:highlight w:val="none"/>
              </w:rPr>
            </w:pPr>
            <w:r>
              <w:rPr>
                <w:rFonts w:hint="eastAsia"/>
                <w:color w:val="auto"/>
                <w:szCs w:val="21"/>
                <w:highlight w:val="none"/>
              </w:rPr>
              <w:t>5、</w:t>
            </w:r>
            <w:r>
              <w:rPr>
                <w:color w:val="auto"/>
                <w:szCs w:val="21"/>
                <w:highlight w:val="none"/>
              </w:rPr>
              <w:t>具有供电电压监测以及带输出使能和过流保护的12V稳压输出</w:t>
            </w:r>
            <w:r>
              <w:rPr>
                <w:rFonts w:hint="eastAsia"/>
                <w:color w:val="auto"/>
                <w:szCs w:val="21"/>
                <w:highlight w:val="none"/>
              </w:rPr>
              <w:t>；</w:t>
            </w:r>
          </w:p>
          <w:p w14:paraId="7DDC0CE7">
            <w:pPr>
              <w:rPr>
                <w:color w:val="auto"/>
                <w:szCs w:val="21"/>
                <w:highlight w:val="none"/>
              </w:rPr>
            </w:pPr>
            <w:r>
              <w:rPr>
                <w:rFonts w:hint="eastAsia"/>
                <w:color w:val="auto"/>
                <w:szCs w:val="21"/>
                <w:highlight w:val="none"/>
              </w:rPr>
              <w:t>6、</w:t>
            </w:r>
            <w:r>
              <w:rPr>
                <w:color w:val="auto"/>
                <w:szCs w:val="21"/>
                <w:highlight w:val="none"/>
              </w:rPr>
              <w:t>具备外接仪器的工作状态监测及故障监测</w:t>
            </w:r>
            <w:r>
              <w:rPr>
                <w:rFonts w:hint="eastAsia"/>
                <w:color w:val="auto"/>
                <w:szCs w:val="21"/>
                <w:highlight w:val="none"/>
              </w:rPr>
              <w:t>；</w:t>
            </w:r>
          </w:p>
          <w:p w14:paraId="7DE7E330">
            <w:pPr>
              <w:rPr>
                <w:color w:val="auto"/>
                <w:szCs w:val="21"/>
                <w:highlight w:val="none"/>
              </w:rPr>
            </w:pPr>
            <w:r>
              <w:rPr>
                <w:rFonts w:hint="eastAsia"/>
                <w:color w:val="auto"/>
                <w:szCs w:val="21"/>
                <w:highlight w:val="none"/>
              </w:rPr>
              <w:t>7、</w:t>
            </w:r>
            <w:r>
              <w:rPr>
                <w:color w:val="auto"/>
                <w:szCs w:val="21"/>
                <w:highlight w:val="none"/>
              </w:rPr>
              <w:t>具备断点续传功能，网络中断恢复后可自动向平台补发数据</w:t>
            </w:r>
            <w:r>
              <w:rPr>
                <w:rFonts w:hint="eastAsia"/>
                <w:color w:val="auto"/>
                <w:szCs w:val="21"/>
                <w:highlight w:val="none"/>
              </w:rPr>
              <w:t>；</w:t>
            </w:r>
          </w:p>
          <w:p w14:paraId="4403B095">
            <w:pPr>
              <w:rPr>
                <w:color w:val="auto"/>
                <w:szCs w:val="21"/>
                <w:highlight w:val="none"/>
              </w:rPr>
            </w:pPr>
            <w:r>
              <w:rPr>
                <w:rFonts w:hint="eastAsia"/>
                <w:color w:val="auto"/>
                <w:szCs w:val="21"/>
                <w:highlight w:val="none"/>
              </w:rPr>
              <w:t>8、</w:t>
            </w:r>
            <w:r>
              <w:rPr>
                <w:color w:val="auto"/>
                <w:szCs w:val="21"/>
                <w:highlight w:val="none"/>
              </w:rPr>
              <w:t>可支持水资源、水文、环保数据通信规约</w:t>
            </w:r>
            <w:r>
              <w:rPr>
                <w:rFonts w:hint="eastAsia"/>
                <w:color w:val="auto"/>
                <w:szCs w:val="21"/>
                <w:highlight w:val="none"/>
              </w:rPr>
              <w:t>；</w:t>
            </w:r>
          </w:p>
          <w:p w14:paraId="5C9A1F9D">
            <w:pPr>
              <w:rPr>
                <w:color w:val="auto"/>
                <w:szCs w:val="21"/>
                <w:highlight w:val="none"/>
              </w:rPr>
            </w:pPr>
            <w:r>
              <w:rPr>
                <w:rFonts w:hint="eastAsia"/>
                <w:color w:val="auto"/>
                <w:szCs w:val="21"/>
                <w:highlight w:val="none"/>
              </w:rPr>
              <w:t>9、</w:t>
            </w:r>
            <w:r>
              <w:rPr>
                <w:color w:val="auto"/>
                <w:szCs w:val="21"/>
                <w:highlight w:val="none"/>
              </w:rPr>
              <w:t>支持多中心上报模式</w:t>
            </w:r>
            <w:r>
              <w:rPr>
                <w:rFonts w:hint="eastAsia"/>
                <w:color w:val="auto"/>
                <w:szCs w:val="21"/>
                <w:highlight w:val="none"/>
              </w:rPr>
              <w:t>；</w:t>
            </w:r>
          </w:p>
          <w:p w14:paraId="1FBBC1EC">
            <w:pPr>
              <w:rPr>
                <w:color w:val="auto"/>
                <w:szCs w:val="21"/>
                <w:highlight w:val="none"/>
              </w:rPr>
            </w:pPr>
            <w:r>
              <w:rPr>
                <w:rFonts w:hint="eastAsia" w:ascii="宋体" w:hAnsi="宋体" w:cs="宋体"/>
                <w:color w:val="auto"/>
                <w:sz w:val="24"/>
                <w:highlight w:val="none"/>
              </w:rPr>
              <w:t>▲</w:t>
            </w:r>
            <w:r>
              <w:rPr>
                <w:rFonts w:hint="eastAsia"/>
                <w:color w:val="auto"/>
                <w:szCs w:val="21"/>
                <w:highlight w:val="none"/>
              </w:rPr>
              <w:t>10、</w:t>
            </w:r>
            <w:r>
              <w:rPr>
                <w:color w:val="auto"/>
                <w:szCs w:val="21"/>
                <w:highlight w:val="none"/>
              </w:rPr>
              <w:t>支持外部</w:t>
            </w:r>
            <w:r>
              <w:rPr>
                <w:rFonts w:hint="eastAsia"/>
                <w:color w:val="auto"/>
                <w:szCs w:val="21"/>
                <w:highlight w:val="none"/>
              </w:rPr>
              <w:t>不少于</w:t>
            </w:r>
            <w:r>
              <w:rPr>
                <w:color w:val="auto"/>
                <w:szCs w:val="21"/>
                <w:highlight w:val="none"/>
              </w:rPr>
              <w:t>128G SD卡数据存储以及U盘等</w:t>
            </w:r>
            <w:r>
              <w:rPr>
                <w:rFonts w:hint="eastAsia"/>
                <w:color w:val="auto"/>
                <w:szCs w:val="21"/>
                <w:highlight w:val="none"/>
              </w:rPr>
              <w:t>；</w:t>
            </w:r>
          </w:p>
          <w:p w14:paraId="010B4631">
            <w:pPr>
              <w:rPr>
                <w:color w:val="auto"/>
                <w:szCs w:val="21"/>
                <w:highlight w:val="none"/>
              </w:rPr>
            </w:pPr>
            <w:r>
              <w:rPr>
                <w:rFonts w:hint="eastAsia" w:ascii="宋体" w:hAnsi="宋体" w:cs="宋体"/>
                <w:color w:val="auto"/>
                <w:sz w:val="24"/>
                <w:highlight w:val="none"/>
              </w:rPr>
              <w:t>▲</w:t>
            </w:r>
            <w:r>
              <w:rPr>
                <w:rFonts w:hint="eastAsia"/>
                <w:color w:val="auto"/>
                <w:szCs w:val="21"/>
                <w:highlight w:val="none"/>
              </w:rPr>
              <w:t>11、</w:t>
            </w:r>
            <w:r>
              <w:rPr>
                <w:color w:val="auto"/>
                <w:szCs w:val="21"/>
                <w:highlight w:val="none"/>
              </w:rPr>
              <w:t>具备实时时钟，具备自动校时功能</w:t>
            </w:r>
            <w:r>
              <w:rPr>
                <w:rFonts w:hint="eastAsia"/>
                <w:color w:val="auto"/>
                <w:szCs w:val="21"/>
                <w:highlight w:val="none"/>
              </w:rPr>
              <w:t>；</w:t>
            </w:r>
          </w:p>
          <w:p w14:paraId="289075E8">
            <w:pPr>
              <w:ind w:firstLine="210" w:firstLineChars="100"/>
              <w:rPr>
                <w:color w:val="auto"/>
                <w:szCs w:val="21"/>
                <w:highlight w:val="none"/>
              </w:rPr>
            </w:pPr>
            <w:r>
              <w:rPr>
                <w:rFonts w:hint="eastAsia"/>
                <w:color w:val="auto"/>
                <w:szCs w:val="21"/>
                <w:highlight w:val="none"/>
              </w:rPr>
              <w:t>12、</w:t>
            </w:r>
            <w:r>
              <w:rPr>
                <w:color w:val="auto"/>
                <w:szCs w:val="21"/>
                <w:highlight w:val="none"/>
              </w:rPr>
              <w:t>具备远程升级功能：支持远程升级、远程监控等功能</w:t>
            </w:r>
            <w:r>
              <w:rPr>
                <w:rFonts w:hint="eastAsia"/>
                <w:color w:val="auto"/>
                <w:szCs w:val="21"/>
                <w:highlight w:val="none"/>
              </w:rPr>
              <w:t>。</w:t>
            </w:r>
          </w:p>
          <w:p w14:paraId="49081049">
            <w:pPr>
              <w:rPr>
                <w:color w:val="auto"/>
                <w:szCs w:val="21"/>
                <w:highlight w:val="none"/>
              </w:rPr>
            </w:pPr>
            <w:r>
              <w:rPr>
                <w:rFonts w:hint="eastAsia" w:ascii="宋体" w:hAnsi="宋体" w:cs="宋体"/>
                <w:color w:val="auto"/>
                <w:sz w:val="24"/>
                <w:highlight w:val="none"/>
              </w:rPr>
              <w:t>▲</w:t>
            </w:r>
            <w:r>
              <w:rPr>
                <w:rFonts w:hint="eastAsia"/>
                <w:color w:val="auto"/>
                <w:szCs w:val="21"/>
                <w:highlight w:val="none"/>
              </w:rPr>
              <w:t>13、支持10通道以上，采集数字和模拟信号；</w:t>
            </w:r>
          </w:p>
          <w:p w14:paraId="55659F0A">
            <w:pPr>
              <w:rPr>
                <w:color w:val="auto"/>
                <w:szCs w:val="21"/>
                <w:highlight w:val="none"/>
              </w:rPr>
            </w:pPr>
            <w:r>
              <w:rPr>
                <w:rFonts w:hint="eastAsia"/>
                <w:color w:val="auto"/>
                <w:szCs w:val="21"/>
                <w:highlight w:val="none"/>
              </w:rPr>
              <w:t>14、采用市电和太阳能双供电模式；</w:t>
            </w:r>
          </w:p>
          <w:p w14:paraId="369334F9">
            <w:pPr>
              <w:rPr>
                <w:color w:val="auto"/>
                <w:szCs w:val="21"/>
                <w:highlight w:val="none"/>
              </w:rPr>
            </w:pPr>
            <w:r>
              <w:rPr>
                <w:rFonts w:hint="eastAsia"/>
                <w:color w:val="auto"/>
                <w:szCs w:val="21"/>
                <w:highlight w:val="none"/>
              </w:rPr>
              <w:t>15、包含支架、线缆辅材等；</w:t>
            </w:r>
          </w:p>
          <w:p w14:paraId="48641557">
            <w:pPr>
              <w:rPr>
                <w:color w:val="auto"/>
                <w:szCs w:val="21"/>
                <w:highlight w:val="none"/>
              </w:rPr>
            </w:pPr>
            <w:r>
              <w:rPr>
                <w:rFonts w:hint="eastAsia"/>
                <w:color w:val="auto"/>
                <w:szCs w:val="21"/>
                <w:highlight w:val="none"/>
              </w:rPr>
              <w:t>1</w:t>
            </w:r>
            <w:r>
              <w:rPr>
                <w:color w:val="auto"/>
                <w:szCs w:val="21"/>
                <w:highlight w:val="none"/>
              </w:rPr>
              <w:t>6</w:t>
            </w:r>
            <w:r>
              <w:rPr>
                <w:rFonts w:hint="eastAsia"/>
                <w:color w:val="auto"/>
                <w:szCs w:val="21"/>
                <w:highlight w:val="none"/>
              </w:rPr>
              <w:t>、统一集成采集气象监测系统、温湿度传感器及红外温度传感器数据，并存储。</w:t>
            </w:r>
          </w:p>
        </w:tc>
      </w:tr>
      <w:tr w14:paraId="4618B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2F80C445">
            <w:pPr>
              <w:widowControl/>
              <w:spacing w:line="400" w:lineRule="exact"/>
              <w:ind w:firstLine="240" w:firstLineChars="100"/>
              <w:rPr>
                <w:rFonts w:ascii="宋体" w:hAnsi="宋体" w:cs="Helvetica"/>
                <w:color w:val="auto"/>
                <w:sz w:val="24"/>
                <w:highlight w:val="none"/>
              </w:rPr>
            </w:pPr>
            <w:r>
              <w:rPr>
                <w:rFonts w:hint="eastAsia" w:ascii="宋体" w:hAnsi="宋体" w:cs="Helvetica"/>
                <w:color w:val="auto"/>
                <w:sz w:val="24"/>
                <w:highlight w:val="none"/>
              </w:rPr>
              <w:t>2</w:t>
            </w:r>
          </w:p>
        </w:tc>
        <w:tc>
          <w:tcPr>
            <w:tcW w:w="1739" w:type="dxa"/>
            <w:vAlign w:val="center"/>
          </w:tcPr>
          <w:p w14:paraId="79F65624">
            <w:pPr>
              <w:rPr>
                <w:rFonts w:ascii="宋体" w:hAnsi="宋体" w:cs="宋体"/>
                <w:color w:val="auto"/>
                <w:szCs w:val="21"/>
                <w:highlight w:val="none"/>
              </w:rPr>
            </w:pPr>
            <w:r>
              <w:rPr>
                <w:rFonts w:hint="eastAsia" w:ascii="宋体" w:hAnsi="宋体" w:cs="宋体"/>
                <w:color w:val="auto"/>
                <w:szCs w:val="21"/>
                <w:highlight w:val="none"/>
              </w:rPr>
              <w:t>气象监测系统</w:t>
            </w:r>
          </w:p>
        </w:tc>
        <w:tc>
          <w:tcPr>
            <w:tcW w:w="6030" w:type="dxa"/>
            <w:shd w:val="clear" w:color="auto" w:fill="auto"/>
            <w:vAlign w:val="center"/>
          </w:tcPr>
          <w:p w14:paraId="7A53A36D">
            <w:pPr>
              <w:rPr>
                <w:color w:val="auto"/>
                <w:szCs w:val="21"/>
                <w:highlight w:val="none"/>
              </w:rPr>
            </w:pPr>
            <w:r>
              <w:rPr>
                <w:rFonts w:hint="eastAsia" w:ascii="宋体" w:hAnsi="宋体" w:cs="宋体"/>
                <w:color w:val="auto"/>
                <w:sz w:val="24"/>
                <w:highlight w:val="none"/>
              </w:rPr>
              <w:t>▲</w:t>
            </w:r>
            <w:r>
              <w:rPr>
                <w:color w:val="auto"/>
                <w:szCs w:val="21"/>
                <w:highlight w:val="none"/>
              </w:rPr>
              <w:t>1、风速：0～60m/s（精度±0.1m/s，分辨率0.01m/s）；</w:t>
            </w:r>
          </w:p>
          <w:p w14:paraId="75B192A4">
            <w:pPr>
              <w:rPr>
                <w:color w:val="auto"/>
                <w:szCs w:val="21"/>
                <w:highlight w:val="none"/>
              </w:rPr>
            </w:pPr>
            <w:r>
              <w:rPr>
                <w:rFonts w:hint="eastAsia" w:ascii="宋体" w:hAnsi="宋体" w:cs="宋体"/>
                <w:color w:val="auto"/>
                <w:sz w:val="24"/>
                <w:highlight w:val="none"/>
              </w:rPr>
              <w:t>▲</w:t>
            </w:r>
            <w:r>
              <w:rPr>
                <w:color w:val="auto"/>
                <w:szCs w:val="21"/>
                <w:highlight w:val="none"/>
              </w:rPr>
              <w:t>2、风向：0～360°（精度±2°，分辨率：1°）；</w:t>
            </w:r>
          </w:p>
          <w:p w14:paraId="38539C22">
            <w:pPr>
              <w:rPr>
                <w:color w:val="auto"/>
                <w:szCs w:val="21"/>
                <w:highlight w:val="none"/>
              </w:rPr>
            </w:pPr>
            <w:r>
              <w:rPr>
                <w:color w:val="auto"/>
                <w:szCs w:val="21"/>
                <w:highlight w:val="none"/>
              </w:rPr>
              <w:t>3、空气温度：-40-60℃（精度±0.3℃，分辨率0.01℃）；</w:t>
            </w:r>
          </w:p>
          <w:p w14:paraId="7A99963F">
            <w:pPr>
              <w:rPr>
                <w:color w:val="auto"/>
                <w:szCs w:val="21"/>
                <w:highlight w:val="none"/>
              </w:rPr>
            </w:pPr>
            <w:r>
              <w:rPr>
                <w:color w:val="auto"/>
                <w:szCs w:val="21"/>
                <w:highlight w:val="none"/>
              </w:rPr>
              <w:t>4、空气湿度：0-100%RH（精度±3%RH，分辨率：0.01%RH）；</w:t>
            </w:r>
          </w:p>
          <w:p w14:paraId="7125DD2E">
            <w:pPr>
              <w:rPr>
                <w:color w:val="auto"/>
                <w:szCs w:val="21"/>
                <w:highlight w:val="none"/>
              </w:rPr>
            </w:pPr>
            <w:r>
              <w:rPr>
                <w:rFonts w:hint="eastAsia" w:ascii="宋体" w:hAnsi="宋体" w:cs="宋体"/>
                <w:color w:val="auto"/>
                <w:sz w:val="24"/>
                <w:highlight w:val="none"/>
              </w:rPr>
              <w:t>▲</w:t>
            </w:r>
            <w:r>
              <w:rPr>
                <w:color w:val="auto"/>
                <w:szCs w:val="21"/>
                <w:highlight w:val="none"/>
              </w:rPr>
              <w:t>5、大气压力：300-1100hpa（精度±0.25%，分辨率0.1hpa）；</w:t>
            </w:r>
          </w:p>
          <w:p w14:paraId="54A315EF">
            <w:pPr>
              <w:rPr>
                <w:color w:val="auto"/>
                <w:szCs w:val="21"/>
                <w:highlight w:val="none"/>
              </w:rPr>
            </w:pPr>
            <w:r>
              <w:rPr>
                <w:rFonts w:hint="eastAsia" w:ascii="宋体" w:hAnsi="宋体" w:cs="宋体"/>
                <w:color w:val="auto"/>
                <w:sz w:val="24"/>
                <w:highlight w:val="none"/>
              </w:rPr>
              <w:t>▲</w:t>
            </w:r>
            <w:r>
              <w:rPr>
                <w:color w:val="auto"/>
                <w:szCs w:val="21"/>
                <w:highlight w:val="none"/>
              </w:rPr>
              <w:t>6、压电雨量：0-4mm/min（精度±4%，分辨率：0.01mm）</w:t>
            </w:r>
          </w:p>
          <w:p w14:paraId="0F8D6524">
            <w:pPr>
              <w:rPr>
                <w:color w:val="auto"/>
                <w:szCs w:val="21"/>
                <w:highlight w:val="none"/>
              </w:rPr>
            </w:pPr>
            <w:r>
              <w:rPr>
                <w:color w:val="auto"/>
                <w:szCs w:val="21"/>
                <w:highlight w:val="none"/>
              </w:rPr>
              <w:t>7、功率:</w:t>
            </w:r>
            <w:r>
              <w:rPr>
                <w:rFonts w:hint="eastAsia"/>
                <w:color w:val="auto"/>
                <w:szCs w:val="21"/>
                <w:highlight w:val="none"/>
              </w:rPr>
              <w:t>少于</w:t>
            </w:r>
            <w:r>
              <w:rPr>
                <w:color w:val="auto"/>
                <w:szCs w:val="21"/>
                <w:highlight w:val="none"/>
              </w:rPr>
              <w:t>2</w:t>
            </w:r>
            <w:r>
              <w:rPr>
                <w:rFonts w:hint="eastAsia"/>
                <w:color w:val="auto"/>
                <w:szCs w:val="21"/>
                <w:highlight w:val="none"/>
              </w:rPr>
              <w:t>W</w:t>
            </w:r>
            <w:r>
              <w:rPr>
                <w:color w:val="auto"/>
                <w:szCs w:val="21"/>
                <w:highlight w:val="none"/>
              </w:rPr>
              <w:t xml:space="preserve"> ；</w:t>
            </w:r>
          </w:p>
          <w:p w14:paraId="3E6DDE76">
            <w:pPr>
              <w:rPr>
                <w:color w:val="auto"/>
                <w:szCs w:val="21"/>
                <w:highlight w:val="none"/>
              </w:rPr>
            </w:pPr>
            <w:r>
              <w:rPr>
                <w:color w:val="auto"/>
                <w:szCs w:val="21"/>
                <w:highlight w:val="none"/>
              </w:rPr>
              <w:t>8、风速、风向、温度、湿度、大气压力、压电雨量六要素一体；</w:t>
            </w:r>
          </w:p>
          <w:p w14:paraId="17FC1A2E">
            <w:pPr>
              <w:rPr>
                <w:color w:val="auto"/>
                <w:szCs w:val="21"/>
                <w:highlight w:val="none"/>
              </w:rPr>
            </w:pPr>
            <w:r>
              <w:rPr>
                <w:color w:val="auto"/>
                <w:szCs w:val="21"/>
                <w:highlight w:val="none"/>
              </w:rPr>
              <w:t>9、具有自动复位功能</w:t>
            </w:r>
            <w:r>
              <w:rPr>
                <w:rFonts w:hint="eastAsia"/>
                <w:color w:val="auto"/>
                <w:szCs w:val="21"/>
                <w:highlight w:val="none"/>
              </w:rPr>
              <w:t>；</w:t>
            </w:r>
          </w:p>
          <w:p w14:paraId="3D850ADD">
            <w:pPr>
              <w:rPr>
                <w:color w:val="auto"/>
                <w:szCs w:val="21"/>
                <w:highlight w:val="none"/>
              </w:rPr>
            </w:pPr>
            <w:r>
              <w:rPr>
                <w:rFonts w:hint="eastAsia"/>
                <w:color w:val="auto"/>
                <w:szCs w:val="21"/>
                <w:highlight w:val="none"/>
              </w:rPr>
              <w:t>10、包含支架、线缆辅材等。支架材质为304不锈钢，方便快速拆卸，电箱要求为304不锈钢材质；</w:t>
            </w:r>
          </w:p>
          <w:p w14:paraId="33FE83F2">
            <w:pPr>
              <w:rPr>
                <w:color w:val="auto"/>
                <w:szCs w:val="21"/>
                <w:highlight w:val="none"/>
              </w:rPr>
            </w:pPr>
            <w:r>
              <w:rPr>
                <w:rFonts w:hint="eastAsia"/>
                <w:color w:val="auto"/>
                <w:szCs w:val="21"/>
                <w:highlight w:val="none"/>
              </w:rPr>
              <w:t>11、采用市电和太阳能双供电模式。</w:t>
            </w:r>
          </w:p>
        </w:tc>
      </w:tr>
      <w:tr w14:paraId="47F22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3CFAC05D">
            <w:pPr>
              <w:widowControl/>
              <w:spacing w:line="400" w:lineRule="exact"/>
              <w:ind w:firstLine="240" w:firstLineChars="100"/>
              <w:rPr>
                <w:rFonts w:ascii="宋体" w:hAnsi="宋体" w:cs="Helvetica"/>
                <w:color w:val="auto"/>
                <w:sz w:val="24"/>
                <w:highlight w:val="none"/>
              </w:rPr>
            </w:pPr>
            <w:r>
              <w:rPr>
                <w:rFonts w:hint="eastAsia" w:ascii="宋体" w:hAnsi="宋体" w:cs="Helvetica"/>
                <w:color w:val="auto"/>
                <w:sz w:val="24"/>
                <w:highlight w:val="none"/>
              </w:rPr>
              <w:t>3</w:t>
            </w:r>
          </w:p>
        </w:tc>
        <w:tc>
          <w:tcPr>
            <w:tcW w:w="1739" w:type="dxa"/>
            <w:vAlign w:val="center"/>
          </w:tcPr>
          <w:p w14:paraId="7AB28234">
            <w:pPr>
              <w:rPr>
                <w:rFonts w:ascii="宋体" w:hAnsi="宋体" w:cs="宋体"/>
                <w:color w:val="auto"/>
                <w:szCs w:val="21"/>
                <w:highlight w:val="none"/>
              </w:rPr>
            </w:pPr>
            <w:r>
              <w:rPr>
                <w:rFonts w:hint="eastAsia" w:ascii="宋体" w:hAnsi="宋体" w:cs="宋体"/>
                <w:color w:val="auto"/>
                <w:szCs w:val="21"/>
                <w:highlight w:val="none"/>
              </w:rPr>
              <w:t>温湿度传感器</w:t>
            </w:r>
          </w:p>
        </w:tc>
        <w:tc>
          <w:tcPr>
            <w:tcW w:w="6030" w:type="dxa"/>
            <w:shd w:val="clear" w:color="auto" w:fill="auto"/>
            <w:vAlign w:val="center"/>
          </w:tcPr>
          <w:p w14:paraId="2D39FD9A">
            <w:pPr>
              <w:rPr>
                <w:color w:val="auto"/>
                <w:szCs w:val="21"/>
                <w:highlight w:val="none"/>
              </w:rPr>
            </w:pPr>
            <w:r>
              <w:rPr>
                <w:rFonts w:hint="eastAsia" w:ascii="宋体" w:hAnsi="宋体" w:cs="宋体"/>
                <w:color w:val="auto"/>
                <w:sz w:val="24"/>
                <w:highlight w:val="none"/>
              </w:rPr>
              <w:t>▲</w:t>
            </w:r>
            <w:r>
              <w:rPr>
                <w:rFonts w:hint="eastAsia" w:ascii="宋体" w:hAnsi="宋体" w:cs="宋体"/>
                <w:color w:val="auto"/>
                <w:szCs w:val="21"/>
                <w:highlight w:val="none"/>
              </w:rPr>
              <w:t>1</w:t>
            </w:r>
            <w:r>
              <w:rPr>
                <w:rFonts w:hint="eastAsia"/>
                <w:color w:val="auto"/>
                <w:szCs w:val="21"/>
                <w:highlight w:val="none"/>
              </w:rPr>
              <w:t>、温度元件：PT100，温度范围：-40~+80℃，分辨率：0.01℃，精度：±0.1℃，或±0.1%测量值，长期漂移：±0.03°C/年；</w:t>
            </w:r>
          </w:p>
          <w:p w14:paraId="24C2C866">
            <w:pPr>
              <w:rPr>
                <w:color w:val="auto"/>
                <w:szCs w:val="21"/>
                <w:highlight w:val="none"/>
              </w:rPr>
            </w:pPr>
            <w:r>
              <w:rPr>
                <w:rFonts w:hint="eastAsia" w:ascii="宋体" w:hAnsi="宋体" w:cs="宋体"/>
                <w:color w:val="auto"/>
                <w:sz w:val="24"/>
                <w:highlight w:val="none"/>
              </w:rPr>
              <w:t>▲</w:t>
            </w:r>
            <w:r>
              <w:rPr>
                <w:rFonts w:hint="eastAsia"/>
                <w:color w:val="auto"/>
                <w:szCs w:val="21"/>
                <w:highlight w:val="none"/>
              </w:rPr>
              <w:t>2、湿度测量原件：电容，湿度范围：0~100%RH，分辨率：0.01%RH，精度：±1.5%(0~90%)/±2% (90~100%)（T=15~+35℃），±(1.5 + 1.5% 测量值)% （其它温度），长期漂移：±0.5%RH/年；</w:t>
            </w:r>
          </w:p>
          <w:p w14:paraId="5F8EC785">
            <w:pPr>
              <w:rPr>
                <w:color w:val="auto"/>
                <w:szCs w:val="21"/>
                <w:highlight w:val="none"/>
              </w:rPr>
            </w:pPr>
            <w:r>
              <w:rPr>
                <w:rFonts w:hint="eastAsia"/>
                <w:color w:val="auto"/>
                <w:szCs w:val="21"/>
                <w:highlight w:val="none"/>
              </w:rPr>
              <w:t>3、响应时间：不大于13秒；</w:t>
            </w:r>
          </w:p>
          <w:p w14:paraId="03892AB0">
            <w:pPr>
              <w:rPr>
                <w:color w:val="auto"/>
                <w:szCs w:val="21"/>
                <w:highlight w:val="none"/>
              </w:rPr>
            </w:pPr>
            <w:r>
              <w:rPr>
                <w:rFonts w:hint="eastAsia"/>
                <w:color w:val="auto"/>
                <w:szCs w:val="21"/>
                <w:highlight w:val="none"/>
              </w:rPr>
              <w:t>4、预热时间：不高于600mS；</w:t>
            </w:r>
          </w:p>
          <w:p w14:paraId="40374E98">
            <w:pPr>
              <w:rPr>
                <w:color w:val="auto"/>
                <w:szCs w:val="21"/>
                <w:highlight w:val="none"/>
              </w:rPr>
            </w:pPr>
            <w:r>
              <w:rPr>
                <w:rFonts w:hint="eastAsia"/>
                <w:color w:val="auto"/>
                <w:szCs w:val="21"/>
                <w:highlight w:val="none"/>
              </w:rPr>
              <w:t>5、供电：7~30Vdc, 电流2.5mA；</w:t>
            </w:r>
          </w:p>
          <w:p w14:paraId="24CF00F3">
            <w:pPr>
              <w:rPr>
                <w:color w:val="auto"/>
                <w:szCs w:val="21"/>
                <w:highlight w:val="none"/>
              </w:rPr>
            </w:pPr>
            <w:r>
              <w:rPr>
                <w:rFonts w:hint="eastAsia"/>
                <w:color w:val="auto"/>
                <w:szCs w:val="21"/>
                <w:highlight w:val="none"/>
              </w:rPr>
              <w:t>6、信号输出：RS485Modbus-RTU可选0~1V,0~5V或0~10V；</w:t>
            </w:r>
          </w:p>
          <w:p w14:paraId="34643B0D">
            <w:pPr>
              <w:rPr>
                <w:color w:val="auto"/>
                <w:szCs w:val="21"/>
                <w:highlight w:val="none"/>
              </w:rPr>
            </w:pPr>
            <w:r>
              <w:rPr>
                <w:rFonts w:hint="eastAsia"/>
                <w:color w:val="auto"/>
                <w:szCs w:val="21"/>
                <w:highlight w:val="none"/>
              </w:rPr>
              <w:t>7、防护：不低于IP65；；</w:t>
            </w:r>
          </w:p>
          <w:p w14:paraId="043A3439">
            <w:pPr>
              <w:rPr>
                <w:color w:val="auto"/>
                <w:szCs w:val="21"/>
                <w:highlight w:val="none"/>
              </w:rPr>
            </w:pPr>
            <w:r>
              <w:rPr>
                <w:rFonts w:hint="eastAsia"/>
                <w:color w:val="auto"/>
                <w:szCs w:val="21"/>
                <w:highlight w:val="none"/>
              </w:rPr>
              <w:t>8、工作环境：温度：-40~+80℃；湿度：0~100%RH；</w:t>
            </w:r>
          </w:p>
        </w:tc>
      </w:tr>
      <w:tr w14:paraId="194AE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2F0217A7">
            <w:pPr>
              <w:widowControl/>
              <w:spacing w:line="400" w:lineRule="exact"/>
              <w:ind w:firstLine="240" w:firstLineChars="100"/>
              <w:rPr>
                <w:rFonts w:ascii="宋体" w:hAnsi="宋体" w:cs="Helvetica"/>
                <w:color w:val="auto"/>
                <w:sz w:val="24"/>
                <w:highlight w:val="none"/>
              </w:rPr>
            </w:pPr>
            <w:r>
              <w:rPr>
                <w:rFonts w:hint="eastAsia" w:ascii="宋体" w:hAnsi="宋体" w:cs="Helvetica"/>
                <w:color w:val="auto"/>
                <w:sz w:val="24"/>
                <w:highlight w:val="none"/>
              </w:rPr>
              <w:t>4</w:t>
            </w:r>
          </w:p>
        </w:tc>
        <w:tc>
          <w:tcPr>
            <w:tcW w:w="1739" w:type="dxa"/>
            <w:vAlign w:val="center"/>
          </w:tcPr>
          <w:p w14:paraId="7E52318A">
            <w:pPr>
              <w:rPr>
                <w:rFonts w:ascii="宋体" w:hAnsi="宋体" w:cs="宋体"/>
                <w:color w:val="auto"/>
                <w:szCs w:val="21"/>
                <w:highlight w:val="none"/>
              </w:rPr>
            </w:pPr>
            <w:r>
              <w:rPr>
                <w:rFonts w:hint="eastAsia" w:ascii="宋体" w:hAnsi="宋体" w:cs="宋体"/>
                <w:color w:val="auto"/>
                <w:szCs w:val="21"/>
                <w:highlight w:val="none"/>
              </w:rPr>
              <w:t>红外温度传感器</w:t>
            </w:r>
          </w:p>
        </w:tc>
        <w:tc>
          <w:tcPr>
            <w:tcW w:w="6030" w:type="dxa"/>
            <w:shd w:val="clear" w:color="auto" w:fill="auto"/>
            <w:vAlign w:val="center"/>
          </w:tcPr>
          <w:p w14:paraId="32436D1A">
            <w:pPr>
              <w:rPr>
                <w:color w:val="auto"/>
                <w:szCs w:val="21"/>
                <w:highlight w:val="none"/>
              </w:rPr>
            </w:pPr>
            <w:r>
              <w:rPr>
                <w:rFonts w:hint="eastAsia"/>
                <w:color w:val="auto"/>
                <w:szCs w:val="21"/>
                <w:highlight w:val="none"/>
              </w:rPr>
              <w:t>1、可用于植物水分状态估计的植物冠层温度测量、用于确定结冰条件的路面温度测量以及能量平衡研究中的陆地表面（土壤、植被、水、雪）温度测量等；</w:t>
            </w:r>
          </w:p>
          <w:p w14:paraId="5FBD3C8F">
            <w:pPr>
              <w:rPr>
                <w:color w:val="auto"/>
                <w:szCs w:val="21"/>
                <w:highlight w:val="none"/>
              </w:rPr>
            </w:pPr>
            <w:r>
              <w:rPr>
                <w:rFonts w:hint="eastAsia"/>
                <w:color w:val="auto"/>
                <w:szCs w:val="21"/>
                <w:highlight w:val="none"/>
              </w:rPr>
              <w:t>2、电源：4.5~24VDC；</w:t>
            </w:r>
          </w:p>
          <w:p w14:paraId="79C92A0A">
            <w:pPr>
              <w:rPr>
                <w:color w:val="auto"/>
                <w:szCs w:val="21"/>
                <w:highlight w:val="none"/>
              </w:rPr>
            </w:pPr>
            <w:r>
              <w:rPr>
                <w:rFonts w:hint="eastAsia"/>
                <w:color w:val="auto"/>
                <w:szCs w:val="21"/>
                <w:highlight w:val="none"/>
              </w:rPr>
              <w:t>3、电流：1.5mA(静态)，2.0mA(有源)；</w:t>
            </w:r>
          </w:p>
          <w:p w14:paraId="355EB7A5">
            <w:pPr>
              <w:rPr>
                <w:color w:val="auto"/>
                <w:szCs w:val="21"/>
                <w:highlight w:val="none"/>
              </w:rPr>
            </w:pPr>
            <w:r>
              <w:rPr>
                <w:rFonts w:hint="eastAsia" w:ascii="宋体" w:hAnsi="宋体" w:cs="宋体"/>
                <w:color w:val="auto"/>
                <w:sz w:val="24"/>
                <w:highlight w:val="none"/>
              </w:rPr>
              <w:t>▲</w:t>
            </w:r>
            <w:r>
              <w:rPr>
                <w:rFonts w:hint="eastAsia"/>
                <w:color w:val="auto"/>
                <w:szCs w:val="21"/>
                <w:highlight w:val="none"/>
              </w:rPr>
              <w:t>4、校准不确定度：±0.2℃（0~50℃）、±0.2℃（-30~+65℃）、±0.5℃（-40~+80℃）；</w:t>
            </w:r>
          </w:p>
          <w:p w14:paraId="0DB81215">
            <w:pPr>
              <w:rPr>
                <w:color w:val="auto"/>
                <w:szCs w:val="21"/>
                <w:highlight w:val="none"/>
              </w:rPr>
            </w:pPr>
            <w:r>
              <w:rPr>
                <w:rFonts w:hint="eastAsia"/>
                <w:color w:val="auto"/>
                <w:szCs w:val="21"/>
                <w:highlight w:val="none"/>
              </w:rPr>
              <w:t>5、可重复性：±0.05℃；</w:t>
            </w:r>
          </w:p>
          <w:p w14:paraId="699A5AA3">
            <w:pPr>
              <w:rPr>
                <w:color w:val="auto"/>
                <w:szCs w:val="21"/>
                <w:highlight w:val="none"/>
              </w:rPr>
            </w:pPr>
            <w:r>
              <w:rPr>
                <w:rFonts w:hint="eastAsia"/>
                <w:color w:val="auto"/>
                <w:szCs w:val="21"/>
                <w:highlight w:val="none"/>
              </w:rPr>
              <w:t>6、稳定性（长期漂移）：±2%/年（当锗过滤器保持清洁状态时）；</w:t>
            </w:r>
          </w:p>
          <w:p w14:paraId="61940318">
            <w:pPr>
              <w:rPr>
                <w:color w:val="auto"/>
                <w:szCs w:val="21"/>
                <w:highlight w:val="none"/>
              </w:rPr>
            </w:pPr>
            <w:r>
              <w:rPr>
                <w:rFonts w:hint="eastAsia" w:ascii="宋体" w:hAnsi="宋体" w:cs="宋体"/>
                <w:color w:val="auto"/>
                <w:sz w:val="24"/>
                <w:highlight w:val="none"/>
              </w:rPr>
              <w:t>▲</w:t>
            </w:r>
            <w:r>
              <w:rPr>
                <w:rFonts w:hint="eastAsia"/>
                <w:color w:val="auto"/>
                <w:szCs w:val="21"/>
                <w:highlight w:val="none"/>
              </w:rPr>
              <w:t>7、响应时间：＜0.6秒探测器信号在阶跃变化后达到95 %时间，SDI-12电路的最快数据传输速率为1 s；</w:t>
            </w:r>
          </w:p>
          <w:p w14:paraId="06478E6F">
            <w:pPr>
              <w:rPr>
                <w:color w:val="auto"/>
                <w:szCs w:val="21"/>
                <w:highlight w:val="none"/>
              </w:rPr>
            </w:pPr>
            <w:r>
              <w:rPr>
                <w:rFonts w:hint="eastAsia" w:ascii="宋体" w:hAnsi="宋体" w:cs="宋体"/>
                <w:color w:val="auto"/>
                <w:sz w:val="24"/>
                <w:highlight w:val="none"/>
              </w:rPr>
              <w:t>▲</w:t>
            </w:r>
            <w:r>
              <w:rPr>
                <w:rFonts w:hint="eastAsia"/>
                <w:color w:val="auto"/>
                <w:szCs w:val="21"/>
                <w:highlight w:val="none"/>
              </w:rPr>
              <w:t>8、光谱范围：8~14μm (相当于大气环境窗口)；</w:t>
            </w:r>
          </w:p>
          <w:p w14:paraId="022FDC38">
            <w:pPr>
              <w:rPr>
                <w:color w:val="auto"/>
                <w:szCs w:val="21"/>
                <w:highlight w:val="none"/>
              </w:rPr>
            </w:pPr>
            <w:r>
              <w:rPr>
                <w:rFonts w:hint="eastAsia"/>
                <w:color w:val="auto"/>
                <w:szCs w:val="21"/>
                <w:highlight w:val="none"/>
              </w:rPr>
              <w:t>9、光学镜头：锗镜头；</w:t>
            </w:r>
          </w:p>
          <w:p w14:paraId="0120040C">
            <w:pPr>
              <w:rPr>
                <w:color w:val="auto"/>
                <w:szCs w:val="21"/>
                <w:highlight w:val="none"/>
              </w:rPr>
            </w:pPr>
            <w:r>
              <w:rPr>
                <w:rFonts w:hint="eastAsia"/>
                <w:color w:val="auto"/>
                <w:szCs w:val="21"/>
                <w:highlight w:val="none"/>
              </w:rPr>
              <w:t>10、视角(FOV)：22°半角；</w:t>
            </w:r>
          </w:p>
          <w:p w14:paraId="44480093">
            <w:pPr>
              <w:rPr>
                <w:color w:val="auto"/>
                <w:szCs w:val="21"/>
                <w:highlight w:val="none"/>
              </w:rPr>
            </w:pPr>
            <w:r>
              <w:rPr>
                <w:rFonts w:hint="eastAsia"/>
                <w:color w:val="auto"/>
                <w:szCs w:val="21"/>
                <w:highlight w:val="none"/>
              </w:rPr>
              <w:t>11、工作环境：-50~+80℃；0~100% RH；</w:t>
            </w:r>
          </w:p>
        </w:tc>
      </w:tr>
      <w:tr w14:paraId="1D26F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shd w:val="clear" w:color="auto" w:fill="auto"/>
            <w:vAlign w:val="center"/>
          </w:tcPr>
          <w:p w14:paraId="6A368E22">
            <w:pPr>
              <w:widowControl/>
              <w:spacing w:line="400" w:lineRule="exact"/>
              <w:ind w:firstLine="240" w:firstLineChars="100"/>
              <w:rPr>
                <w:rFonts w:ascii="宋体" w:hAnsi="宋体" w:cs="Helvetica"/>
                <w:color w:val="auto"/>
                <w:sz w:val="24"/>
                <w:highlight w:val="none"/>
              </w:rPr>
            </w:pPr>
            <w:r>
              <w:rPr>
                <w:rFonts w:hint="eastAsia" w:ascii="宋体" w:hAnsi="宋体" w:cs="Helvetica"/>
                <w:color w:val="auto"/>
                <w:sz w:val="24"/>
                <w:highlight w:val="none"/>
              </w:rPr>
              <w:t>5</w:t>
            </w:r>
          </w:p>
        </w:tc>
        <w:tc>
          <w:tcPr>
            <w:tcW w:w="1739" w:type="dxa"/>
            <w:shd w:val="clear" w:color="auto" w:fill="auto"/>
            <w:vAlign w:val="center"/>
          </w:tcPr>
          <w:p w14:paraId="49F7B0E0">
            <w:pPr>
              <w:rPr>
                <w:rFonts w:ascii="宋体" w:hAnsi="宋体" w:cs="宋体"/>
                <w:color w:val="auto"/>
                <w:kern w:val="0"/>
                <w:sz w:val="20"/>
                <w:szCs w:val="20"/>
                <w:highlight w:val="none"/>
                <w:lang w:bidi="ar"/>
              </w:rPr>
            </w:pPr>
            <w:bookmarkStart w:id="0" w:name="OLE_LINK9"/>
            <w:bookmarkStart w:id="1" w:name="OLE_LINK10"/>
            <w:r>
              <w:rPr>
                <w:rFonts w:hint="eastAsia" w:ascii="宋体" w:hAnsi="宋体" w:cs="宋体"/>
                <w:color w:val="auto"/>
                <w:szCs w:val="21"/>
                <w:highlight w:val="none"/>
              </w:rPr>
              <w:t>太阳光度计</w:t>
            </w:r>
            <w:bookmarkEnd w:id="0"/>
            <w:bookmarkEnd w:id="1"/>
          </w:p>
        </w:tc>
        <w:tc>
          <w:tcPr>
            <w:tcW w:w="6030" w:type="dxa"/>
            <w:shd w:val="clear" w:color="auto" w:fill="auto"/>
            <w:vAlign w:val="center"/>
          </w:tcPr>
          <w:p w14:paraId="3E496B40">
            <w:pPr>
              <w:rPr>
                <w:color w:val="auto"/>
                <w:szCs w:val="21"/>
                <w:highlight w:val="none"/>
              </w:rPr>
            </w:pPr>
            <w:r>
              <w:rPr>
                <w:rFonts w:hint="eastAsia" w:ascii="宋体" w:hAnsi="宋体" w:cs="宋体"/>
                <w:color w:val="auto"/>
                <w:sz w:val="24"/>
                <w:highlight w:val="none"/>
              </w:rPr>
              <w:t>▲</w:t>
            </w:r>
            <w:r>
              <w:rPr>
                <w:color w:val="auto"/>
                <w:szCs w:val="21"/>
                <w:highlight w:val="none"/>
              </w:rPr>
              <w:t>1、太阳光谱中心波长：(280nm-3000nm)、340nm、380nm、440nm、500nm、675nm、870nm、936nm、1020nm、1640nm十波段；</w:t>
            </w:r>
          </w:p>
          <w:p w14:paraId="21A442FB">
            <w:pPr>
              <w:rPr>
                <w:color w:val="auto"/>
                <w:szCs w:val="21"/>
                <w:highlight w:val="none"/>
              </w:rPr>
            </w:pPr>
            <w:r>
              <w:rPr>
                <w:rFonts w:hint="eastAsia" w:ascii="宋体" w:hAnsi="宋体" w:cs="宋体"/>
                <w:color w:val="auto"/>
                <w:sz w:val="24"/>
                <w:highlight w:val="none"/>
              </w:rPr>
              <w:t>▲</w:t>
            </w:r>
            <w:r>
              <w:rPr>
                <w:color w:val="auto"/>
                <w:szCs w:val="21"/>
                <w:highlight w:val="none"/>
              </w:rPr>
              <w:t>2、</w:t>
            </w:r>
            <w:r>
              <w:rPr>
                <w:rFonts w:hint="eastAsia"/>
                <w:color w:val="auto"/>
                <w:szCs w:val="21"/>
                <w:highlight w:val="none"/>
              </w:rPr>
              <w:t>测量要素</w:t>
            </w:r>
            <w:r>
              <w:rPr>
                <w:color w:val="auto"/>
                <w:szCs w:val="21"/>
                <w:highlight w:val="none"/>
              </w:rPr>
              <w:t>：九波段光谱的直接辐射，法向直接辐射，水平直接辐射、总辐射、散射辐射、日照时数、峰值日照时数，大气气溶胶、太阳入射角，太阳高度角、日出时间、日落时间；</w:t>
            </w:r>
          </w:p>
          <w:p w14:paraId="35AA4AA9">
            <w:pPr>
              <w:rPr>
                <w:color w:val="auto"/>
                <w:szCs w:val="21"/>
                <w:highlight w:val="none"/>
              </w:rPr>
            </w:pPr>
            <w:r>
              <w:rPr>
                <w:color w:val="auto"/>
                <w:szCs w:val="21"/>
                <w:highlight w:val="none"/>
              </w:rPr>
              <w:t>3、供电方式：AC220V/DC12V；</w:t>
            </w:r>
          </w:p>
          <w:p w14:paraId="60FF0711">
            <w:pPr>
              <w:rPr>
                <w:color w:val="auto"/>
                <w:szCs w:val="21"/>
                <w:highlight w:val="none"/>
              </w:rPr>
            </w:pPr>
            <w:r>
              <w:rPr>
                <w:color w:val="auto"/>
                <w:szCs w:val="21"/>
                <w:highlight w:val="none"/>
              </w:rPr>
              <w:t>4、跟踪模式：un-sensor 主动模式、Calculation被动模式；</w:t>
            </w:r>
          </w:p>
          <w:p w14:paraId="32BEF091">
            <w:pPr>
              <w:rPr>
                <w:color w:val="auto"/>
                <w:szCs w:val="21"/>
                <w:highlight w:val="none"/>
              </w:rPr>
            </w:pPr>
            <w:r>
              <w:rPr>
                <w:rFonts w:hint="eastAsia" w:ascii="宋体" w:hAnsi="宋体" w:cs="宋体"/>
                <w:color w:val="auto"/>
                <w:sz w:val="24"/>
                <w:highlight w:val="none"/>
              </w:rPr>
              <w:t>▲</w:t>
            </w:r>
            <w:r>
              <w:rPr>
                <w:color w:val="auto"/>
                <w:szCs w:val="21"/>
                <w:highlight w:val="none"/>
              </w:rPr>
              <w:t>5、指向精度：＜0.1°（主动跟踪，需配太阳传感器）＜0.5°（被动跟踪，北斗计算）；</w:t>
            </w:r>
          </w:p>
          <w:p w14:paraId="621FB8E6">
            <w:pPr>
              <w:rPr>
                <w:color w:val="auto"/>
                <w:szCs w:val="21"/>
                <w:highlight w:val="none"/>
              </w:rPr>
            </w:pPr>
            <w:r>
              <w:rPr>
                <w:color w:val="auto"/>
                <w:szCs w:val="21"/>
                <w:highlight w:val="none"/>
              </w:rPr>
              <w:t>6、角速度：最大4.5°/s；</w:t>
            </w:r>
          </w:p>
          <w:p w14:paraId="760541AB">
            <w:pPr>
              <w:rPr>
                <w:color w:val="auto"/>
                <w:szCs w:val="21"/>
                <w:highlight w:val="none"/>
              </w:rPr>
            </w:pPr>
            <w:r>
              <w:rPr>
                <w:color w:val="auto"/>
                <w:szCs w:val="21"/>
                <w:highlight w:val="none"/>
              </w:rPr>
              <w:t>7、旋转角度：水平0～350°，垂直0～120°；</w:t>
            </w:r>
          </w:p>
          <w:p w14:paraId="42B52F76">
            <w:pPr>
              <w:rPr>
                <w:color w:val="auto"/>
                <w:szCs w:val="21"/>
                <w:highlight w:val="none"/>
              </w:rPr>
            </w:pPr>
            <w:r>
              <w:rPr>
                <w:color w:val="auto"/>
                <w:szCs w:val="21"/>
                <w:highlight w:val="none"/>
              </w:rPr>
              <w:t>8、GPS测量方式：授时+日期计算；</w:t>
            </w:r>
          </w:p>
          <w:p w14:paraId="3BEAA2E6">
            <w:pPr>
              <w:rPr>
                <w:color w:val="auto"/>
                <w:szCs w:val="21"/>
                <w:highlight w:val="none"/>
              </w:rPr>
            </w:pPr>
            <w:r>
              <w:rPr>
                <w:rFonts w:hint="eastAsia"/>
                <w:color w:val="auto"/>
                <w:szCs w:val="21"/>
                <w:highlight w:val="none"/>
              </w:rPr>
              <w:t>9</w:t>
            </w:r>
            <w:r>
              <w:rPr>
                <w:color w:val="auto"/>
                <w:szCs w:val="21"/>
                <w:highlight w:val="none"/>
              </w:rPr>
              <w:t>、通讯接口：无线、蓝牙Bluetooth；</w:t>
            </w:r>
          </w:p>
          <w:p w14:paraId="33783403">
            <w:pPr>
              <w:rPr>
                <w:color w:val="auto"/>
                <w:szCs w:val="21"/>
                <w:highlight w:val="none"/>
              </w:rPr>
            </w:pPr>
            <w:r>
              <w:rPr>
                <w:rFonts w:hint="eastAsia"/>
                <w:color w:val="auto"/>
                <w:szCs w:val="21"/>
                <w:highlight w:val="none"/>
              </w:rPr>
              <w:t>10、防护等级：不低于IP66；</w:t>
            </w:r>
          </w:p>
          <w:p w14:paraId="2570247E">
            <w:pPr>
              <w:rPr>
                <w:color w:val="auto"/>
                <w:szCs w:val="21"/>
                <w:highlight w:val="none"/>
              </w:rPr>
            </w:pPr>
            <w:r>
              <w:rPr>
                <w:rFonts w:hint="eastAsia"/>
                <w:color w:val="auto"/>
                <w:szCs w:val="21"/>
                <w:highlight w:val="none"/>
              </w:rPr>
              <w:t>11、北斗卫星定位：北斗卫星定位追踪技术，可以保证太阳被云遮挡时，弱光时刻跟踪测量精度＜0.5°；</w:t>
            </w:r>
          </w:p>
          <w:p w14:paraId="5A34C199">
            <w:pPr>
              <w:rPr>
                <w:color w:val="auto"/>
                <w:szCs w:val="21"/>
                <w:highlight w:val="none"/>
              </w:rPr>
            </w:pPr>
            <w:r>
              <w:rPr>
                <w:rFonts w:hint="eastAsia"/>
                <w:color w:val="auto"/>
                <w:szCs w:val="21"/>
                <w:highlight w:val="none"/>
              </w:rPr>
              <w:t>12、太阳跟踪驱动部件：光学瞄准筒，内置控制模块，双轴步进马达系统；</w:t>
            </w:r>
          </w:p>
          <w:p w14:paraId="34F403E4">
            <w:pPr>
              <w:rPr>
                <w:color w:val="auto"/>
                <w:szCs w:val="21"/>
                <w:highlight w:val="none"/>
              </w:rPr>
            </w:pPr>
            <w:r>
              <w:rPr>
                <w:color w:val="auto"/>
                <w:szCs w:val="21"/>
                <w:highlight w:val="none"/>
              </w:rPr>
              <w:t>1</w:t>
            </w:r>
            <w:r>
              <w:rPr>
                <w:rFonts w:hint="eastAsia"/>
                <w:color w:val="auto"/>
                <w:szCs w:val="21"/>
                <w:highlight w:val="none"/>
              </w:rPr>
              <w:t>3</w:t>
            </w:r>
            <w:r>
              <w:rPr>
                <w:color w:val="auto"/>
                <w:szCs w:val="21"/>
                <w:highlight w:val="none"/>
              </w:rPr>
              <w:t>、总视场角：</w:t>
            </w:r>
            <w:r>
              <w:rPr>
                <w:rFonts w:hint="eastAsia"/>
                <w:color w:val="auto"/>
                <w:szCs w:val="21"/>
                <w:highlight w:val="none"/>
              </w:rPr>
              <w:t>1.0°~1.3°</w:t>
            </w:r>
            <w:r>
              <w:rPr>
                <w:color w:val="auto"/>
                <w:szCs w:val="21"/>
                <w:highlight w:val="none"/>
              </w:rPr>
              <w:t xml:space="preserve">； </w:t>
            </w:r>
          </w:p>
          <w:p w14:paraId="10461E98">
            <w:pPr>
              <w:rPr>
                <w:color w:val="auto"/>
                <w:szCs w:val="21"/>
                <w:highlight w:val="none"/>
              </w:rPr>
            </w:pPr>
            <w:r>
              <w:rPr>
                <w:color w:val="auto"/>
                <w:szCs w:val="21"/>
                <w:highlight w:val="none"/>
              </w:rPr>
              <w:t>1</w:t>
            </w:r>
            <w:r>
              <w:rPr>
                <w:rFonts w:hint="eastAsia"/>
                <w:color w:val="auto"/>
                <w:szCs w:val="21"/>
                <w:highlight w:val="none"/>
              </w:rPr>
              <w:t>4</w:t>
            </w:r>
            <w:r>
              <w:rPr>
                <w:color w:val="auto"/>
                <w:szCs w:val="21"/>
                <w:highlight w:val="none"/>
              </w:rPr>
              <w:t>、工作</w:t>
            </w:r>
            <w:r>
              <w:rPr>
                <w:rFonts w:hint="eastAsia"/>
                <w:color w:val="auto"/>
                <w:szCs w:val="21"/>
                <w:highlight w:val="none"/>
              </w:rPr>
              <w:t>温度</w:t>
            </w:r>
            <w:r>
              <w:rPr>
                <w:color w:val="auto"/>
                <w:szCs w:val="21"/>
                <w:highlight w:val="none"/>
              </w:rPr>
              <w:t>：-20℃～+55℃（</w:t>
            </w:r>
            <w:r>
              <w:rPr>
                <w:rFonts w:hint="eastAsia"/>
                <w:color w:val="auto"/>
                <w:szCs w:val="21"/>
                <w:highlight w:val="none"/>
              </w:rPr>
              <w:t>常温型</w:t>
            </w:r>
            <w:r>
              <w:rPr>
                <w:color w:val="auto"/>
                <w:szCs w:val="21"/>
                <w:highlight w:val="none"/>
              </w:rPr>
              <w:t>）</w:t>
            </w:r>
            <w:r>
              <w:rPr>
                <w:rFonts w:hint="eastAsia"/>
                <w:color w:val="auto"/>
                <w:szCs w:val="21"/>
                <w:highlight w:val="none"/>
              </w:rPr>
              <w:t>；</w:t>
            </w:r>
            <w:r>
              <w:rPr>
                <w:color w:val="auto"/>
                <w:szCs w:val="21"/>
                <w:highlight w:val="none"/>
              </w:rPr>
              <w:t>-</w:t>
            </w:r>
            <w:r>
              <w:rPr>
                <w:rFonts w:hint="eastAsia"/>
                <w:color w:val="auto"/>
                <w:szCs w:val="21"/>
                <w:highlight w:val="none"/>
              </w:rPr>
              <w:t>4</w:t>
            </w:r>
            <w:r>
              <w:rPr>
                <w:color w:val="auto"/>
                <w:szCs w:val="21"/>
                <w:highlight w:val="none"/>
              </w:rPr>
              <w:t>0℃～+55℃</w:t>
            </w:r>
            <w:r>
              <w:rPr>
                <w:rFonts w:hint="eastAsia"/>
                <w:color w:val="auto"/>
                <w:szCs w:val="21"/>
                <w:highlight w:val="none"/>
              </w:rPr>
              <w:t>（低温型）；湿度0</w:t>
            </w:r>
            <w:r>
              <w:rPr>
                <w:color w:val="auto"/>
                <w:szCs w:val="21"/>
                <w:highlight w:val="none"/>
              </w:rPr>
              <w:t>～</w:t>
            </w:r>
            <w:r>
              <w:rPr>
                <w:rFonts w:hint="eastAsia"/>
                <w:color w:val="auto"/>
                <w:szCs w:val="21"/>
                <w:highlight w:val="none"/>
              </w:rPr>
              <w:t>85%RH；</w:t>
            </w:r>
          </w:p>
          <w:p w14:paraId="6D105BBF">
            <w:pPr>
              <w:rPr>
                <w:color w:val="auto"/>
                <w:szCs w:val="21"/>
                <w:highlight w:val="none"/>
              </w:rPr>
            </w:pPr>
            <w:r>
              <w:rPr>
                <w:color w:val="auto"/>
                <w:szCs w:val="21"/>
                <w:highlight w:val="none"/>
              </w:rPr>
              <w:t>1</w:t>
            </w:r>
            <w:r>
              <w:rPr>
                <w:rFonts w:hint="eastAsia"/>
                <w:color w:val="auto"/>
                <w:szCs w:val="21"/>
                <w:highlight w:val="none"/>
              </w:rPr>
              <w:t>5</w:t>
            </w:r>
            <w:r>
              <w:rPr>
                <w:color w:val="auto"/>
                <w:szCs w:val="21"/>
                <w:highlight w:val="none"/>
              </w:rPr>
              <w:t>、自动归零功能：太阳入射角低于0度仪器自动归零，校准零点位置，保证第二天工作没有累计误差影响；</w:t>
            </w:r>
          </w:p>
          <w:p w14:paraId="279CA6E0">
            <w:pPr>
              <w:rPr>
                <w:color w:val="auto"/>
                <w:szCs w:val="21"/>
                <w:highlight w:val="none"/>
              </w:rPr>
            </w:pPr>
            <w:r>
              <w:rPr>
                <w:rFonts w:hint="eastAsia" w:ascii="宋体" w:hAnsi="宋体" w:cs="宋体"/>
                <w:color w:val="auto"/>
                <w:sz w:val="24"/>
                <w:highlight w:val="none"/>
              </w:rPr>
              <w:t>▲</w:t>
            </w:r>
            <w:r>
              <w:rPr>
                <w:color w:val="auto"/>
                <w:szCs w:val="21"/>
                <w:highlight w:val="none"/>
              </w:rPr>
              <w:t>1</w:t>
            </w:r>
            <w:r>
              <w:rPr>
                <w:rFonts w:hint="eastAsia"/>
                <w:color w:val="auto"/>
                <w:szCs w:val="21"/>
                <w:highlight w:val="none"/>
              </w:rPr>
              <w:t>6</w:t>
            </w:r>
            <w:r>
              <w:rPr>
                <w:color w:val="auto"/>
                <w:szCs w:val="21"/>
                <w:highlight w:val="none"/>
              </w:rPr>
              <w:t>、通讯方式：支持 RS232、RS485、GPRS、RJ45、Wifi 等；</w:t>
            </w:r>
          </w:p>
          <w:p w14:paraId="3FBA95D9">
            <w:pPr>
              <w:rPr>
                <w:color w:val="auto"/>
                <w:szCs w:val="21"/>
                <w:highlight w:val="none"/>
              </w:rPr>
            </w:pPr>
            <w:r>
              <w:rPr>
                <w:rFonts w:hint="eastAsia"/>
                <w:color w:val="auto"/>
                <w:szCs w:val="21"/>
                <w:highlight w:val="none"/>
              </w:rPr>
              <w:t>17、数据分析软件：单机版软件、云平台软件、APP软件、软件著作权、气象数据监测云平台；</w:t>
            </w:r>
          </w:p>
          <w:p w14:paraId="741381B1">
            <w:pPr>
              <w:rPr>
                <w:color w:val="auto"/>
                <w:szCs w:val="21"/>
                <w:highlight w:val="none"/>
              </w:rPr>
            </w:pPr>
            <w:r>
              <w:rPr>
                <w:rFonts w:hint="eastAsia" w:ascii="宋体" w:hAnsi="宋体" w:cs="宋体"/>
                <w:color w:val="auto"/>
                <w:sz w:val="24"/>
                <w:highlight w:val="none"/>
              </w:rPr>
              <w:t>▲</w:t>
            </w:r>
            <w:r>
              <w:rPr>
                <w:rFonts w:hint="eastAsia"/>
                <w:color w:val="auto"/>
                <w:szCs w:val="21"/>
                <w:highlight w:val="none"/>
              </w:rPr>
              <w:t>18</w:t>
            </w:r>
            <w:r>
              <w:rPr>
                <w:color w:val="auto"/>
                <w:szCs w:val="21"/>
                <w:highlight w:val="none"/>
              </w:rPr>
              <w:t>、总辐射传感器：等级标准：Class A；</w:t>
            </w:r>
            <w:r>
              <w:rPr>
                <w:rFonts w:hint="eastAsia"/>
                <w:color w:val="auto"/>
                <w:szCs w:val="21"/>
                <w:highlight w:val="none"/>
              </w:rPr>
              <w:t>*</w:t>
            </w:r>
            <w:r>
              <w:rPr>
                <w:color w:val="auto"/>
                <w:szCs w:val="21"/>
                <w:highlight w:val="none"/>
              </w:rPr>
              <w:t>时间响应（95%）：＜5s；</w:t>
            </w:r>
            <w:r>
              <w:rPr>
                <w:rFonts w:hint="eastAsia"/>
                <w:color w:val="auto"/>
                <w:szCs w:val="21"/>
                <w:highlight w:val="none"/>
              </w:rPr>
              <w:t>*</w:t>
            </w:r>
            <w:r>
              <w:rPr>
                <w:color w:val="auto"/>
                <w:szCs w:val="21"/>
                <w:highlight w:val="none"/>
              </w:rPr>
              <w:t>热辐射零点偏移：＜7 W/m2；</w:t>
            </w:r>
            <w:r>
              <w:rPr>
                <w:rFonts w:hint="eastAsia"/>
                <w:color w:val="auto"/>
                <w:szCs w:val="21"/>
                <w:highlight w:val="none"/>
              </w:rPr>
              <w:t>*</w:t>
            </w:r>
            <w:r>
              <w:rPr>
                <w:color w:val="auto"/>
                <w:szCs w:val="21"/>
                <w:highlight w:val="none"/>
              </w:rPr>
              <w:t>温度变化零点偏移：＜2 W/m2；</w:t>
            </w:r>
            <w:r>
              <w:rPr>
                <w:rFonts w:hint="eastAsia"/>
                <w:color w:val="auto"/>
                <w:szCs w:val="21"/>
                <w:highlight w:val="none"/>
              </w:rPr>
              <w:t>*</w:t>
            </w:r>
            <w:r>
              <w:rPr>
                <w:color w:val="auto"/>
                <w:szCs w:val="21"/>
                <w:highlight w:val="none"/>
              </w:rPr>
              <w:t>非线性：±0.5%；不稳定性：±0.2%；</w:t>
            </w:r>
            <w:r>
              <w:rPr>
                <w:rFonts w:hint="eastAsia"/>
                <w:color w:val="auto"/>
                <w:szCs w:val="21"/>
                <w:highlight w:val="none"/>
              </w:rPr>
              <w:t>*</w:t>
            </w:r>
            <w:r>
              <w:rPr>
                <w:color w:val="auto"/>
                <w:szCs w:val="21"/>
                <w:highlight w:val="none"/>
              </w:rPr>
              <w:t>方向性响应：≤10 W/m2；光谱误差：±0.5%；</w:t>
            </w:r>
            <w:r>
              <w:rPr>
                <w:rFonts w:hint="eastAsia"/>
                <w:color w:val="auto"/>
                <w:szCs w:val="21"/>
                <w:highlight w:val="none"/>
              </w:rPr>
              <w:t>*</w:t>
            </w:r>
            <w:r>
              <w:rPr>
                <w:color w:val="auto"/>
                <w:szCs w:val="21"/>
                <w:highlight w:val="none"/>
              </w:rPr>
              <w:t>温度响应(-10～40℃)：＜1 %；</w:t>
            </w:r>
            <w:r>
              <w:rPr>
                <w:rFonts w:hint="eastAsia"/>
                <w:color w:val="auto"/>
                <w:szCs w:val="21"/>
                <w:highlight w:val="none"/>
              </w:rPr>
              <w:t>*</w:t>
            </w:r>
            <w:r>
              <w:rPr>
                <w:color w:val="auto"/>
                <w:szCs w:val="21"/>
                <w:highlight w:val="none"/>
              </w:rPr>
              <w:t>倾斜误差：±0.2%；光谱响应：280～3000nm；分辨率：1 W/m2；灵敏度：7～15μV/W•m-2；</w:t>
            </w:r>
            <w:r>
              <w:rPr>
                <w:rFonts w:hint="eastAsia"/>
                <w:color w:val="auto"/>
                <w:szCs w:val="21"/>
                <w:highlight w:val="none"/>
                <w:lang w:eastAsia="zh-CN"/>
              </w:rPr>
              <w:t>投标人</w:t>
            </w:r>
            <w:r>
              <w:rPr>
                <w:rFonts w:hint="eastAsia"/>
                <w:color w:val="auto"/>
                <w:szCs w:val="21"/>
                <w:highlight w:val="none"/>
              </w:rPr>
              <w:t>需提国家气量站A级辐射表监测证书</w:t>
            </w:r>
            <w:r>
              <w:rPr>
                <w:rFonts w:hint="eastAsia"/>
                <w:color w:val="auto"/>
                <w:szCs w:val="21"/>
                <w:highlight w:val="none"/>
                <w:lang w:eastAsia="zh-CN"/>
              </w:rPr>
              <w:t>复印件，加盖投标人公章</w:t>
            </w:r>
            <w:r>
              <w:rPr>
                <w:rFonts w:hint="eastAsia"/>
                <w:color w:val="auto"/>
                <w:szCs w:val="21"/>
                <w:highlight w:val="none"/>
              </w:rPr>
              <w:t>（带*必须有检测结果）；</w:t>
            </w:r>
          </w:p>
          <w:p w14:paraId="2B6357AA">
            <w:pPr>
              <w:rPr>
                <w:color w:val="auto"/>
                <w:szCs w:val="21"/>
                <w:highlight w:val="none"/>
              </w:rPr>
            </w:pPr>
            <w:r>
              <w:rPr>
                <w:rFonts w:hint="eastAsia" w:ascii="宋体" w:hAnsi="宋体" w:cs="宋体"/>
                <w:color w:val="auto"/>
                <w:sz w:val="24"/>
                <w:highlight w:val="none"/>
              </w:rPr>
              <w:t>▲</w:t>
            </w:r>
            <w:r>
              <w:rPr>
                <w:rFonts w:hint="eastAsia"/>
                <w:color w:val="auto"/>
                <w:szCs w:val="21"/>
                <w:highlight w:val="none"/>
              </w:rPr>
              <w:t>19、直接</w:t>
            </w:r>
            <w:r>
              <w:rPr>
                <w:color w:val="auto"/>
                <w:szCs w:val="21"/>
                <w:highlight w:val="none"/>
              </w:rPr>
              <w:t>辐射传感器：时间响应（95%）20s；热辐射零点偏移±2W/㎡；温度变化零点偏移±1W/㎡；非线性±0.2%；不稳定性±0.5%/1yr；光谱一致性±3%；光谱误差±0.2%；温度响应(-10～40℃)±0.5%；倾斜误差±0.2%；光谱响应285～3000nm；开敞角4°。</w:t>
            </w:r>
          </w:p>
        </w:tc>
      </w:tr>
      <w:tr w14:paraId="1CAB6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14:paraId="7A206F4D">
            <w:pPr>
              <w:widowControl/>
              <w:spacing w:line="400" w:lineRule="exact"/>
              <w:ind w:firstLine="240" w:firstLineChars="100"/>
              <w:rPr>
                <w:rFonts w:ascii="宋体" w:hAnsi="宋体" w:cs="Helvetica"/>
                <w:color w:val="auto"/>
                <w:sz w:val="24"/>
                <w:highlight w:val="none"/>
              </w:rPr>
            </w:pPr>
            <w:r>
              <w:rPr>
                <w:rFonts w:hint="eastAsia" w:ascii="宋体" w:hAnsi="宋体" w:cs="Helvetica"/>
                <w:color w:val="auto"/>
                <w:sz w:val="24"/>
                <w:highlight w:val="none"/>
              </w:rPr>
              <w:t>6</w:t>
            </w:r>
          </w:p>
        </w:tc>
        <w:tc>
          <w:tcPr>
            <w:tcW w:w="1739" w:type="dxa"/>
            <w:shd w:val="clear" w:color="auto" w:fill="auto"/>
            <w:vAlign w:val="center"/>
          </w:tcPr>
          <w:p w14:paraId="495ADEF9">
            <w:pPr>
              <w:rPr>
                <w:rFonts w:ascii="宋体" w:hAnsi="宋体" w:cs="宋体"/>
                <w:color w:val="auto"/>
                <w:szCs w:val="21"/>
                <w:highlight w:val="none"/>
              </w:rPr>
            </w:pPr>
            <w:r>
              <w:rPr>
                <w:rFonts w:hint="eastAsia" w:ascii="宋体" w:hAnsi="宋体" w:cs="宋体"/>
                <w:color w:val="auto"/>
                <w:szCs w:val="21"/>
                <w:highlight w:val="none"/>
              </w:rPr>
              <w:t>能见度仪</w:t>
            </w:r>
          </w:p>
        </w:tc>
        <w:tc>
          <w:tcPr>
            <w:tcW w:w="6030" w:type="dxa"/>
            <w:shd w:val="clear" w:color="auto" w:fill="auto"/>
            <w:vAlign w:val="center"/>
          </w:tcPr>
          <w:p w14:paraId="3E28D5FE">
            <w:pPr>
              <w:rPr>
                <w:color w:val="auto"/>
                <w:szCs w:val="21"/>
                <w:highlight w:val="none"/>
              </w:rPr>
            </w:pPr>
            <w:r>
              <w:rPr>
                <w:rFonts w:hint="eastAsia" w:ascii="宋体" w:hAnsi="宋体" w:cs="宋体"/>
                <w:color w:val="auto"/>
                <w:szCs w:val="21"/>
                <w:highlight w:val="none"/>
              </w:rPr>
              <w:t>1</w:t>
            </w:r>
            <w:r>
              <w:rPr>
                <w:rFonts w:hint="eastAsia"/>
                <w:color w:val="auto"/>
                <w:szCs w:val="21"/>
                <w:highlight w:val="none"/>
              </w:rPr>
              <w:t>、</w:t>
            </w:r>
            <w:r>
              <w:rPr>
                <w:color w:val="auto"/>
                <w:szCs w:val="21"/>
                <w:highlight w:val="none"/>
              </w:rPr>
              <w:t>执行标准QX/T 536-2020前向散射式能见度仪测试方</w:t>
            </w:r>
            <w:r>
              <w:rPr>
                <w:rFonts w:hint="eastAsia"/>
                <w:color w:val="auto"/>
                <w:szCs w:val="21"/>
                <w:highlight w:val="none"/>
              </w:rPr>
              <w:t>法；</w:t>
            </w:r>
          </w:p>
          <w:p w14:paraId="3FA63B74">
            <w:pPr>
              <w:rPr>
                <w:color w:val="auto"/>
                <w:szCs w:val="21"/>
                <w:highlight w:val="none"/>
              </w:rPr>
            </w:pPr>
            <w:r>
              <w:rPr>
                <w:rFonts w:hint="eastAsia"/>
                <w:color w:val="auto"/>
                <w:szCs w:val="21"/>
                <w:highlight w:val="none"/>
              </w:rPr>
              <w:t>▲2、</w:t>
            </w:r>
            <w:r>
              <w:rPr>
                <w:color w:val="auto"/>
                <w:szCs w:val="21"/>
                <w:highlight w:val="none"/>
              </w:rPr>
              <w:t>量程</w:t>
            </w:r>
            <w:r>
              <w:rPr>
                <w:rFonts w:hint="eastAsia"/>
                <w:color w:val="auto"/>
                <w:szCs w:val="21"/>
                <w:highlight w:val="none"/>
              </w:rPr>
              <w:t>：8</w:t>
            </w:r>
            <w:r>
              <w:rPr>
                <w:color w:val="auto"/>
                <w:szCs w:val="21"/>
                <w:highlight w:val="none"/>
              </w:rPr>
              <w:t>0km</w:t>
            </w:r>
            <w:r>
              <w:rPr>
                <w:rFonts w:hint="eastAsia"/>
                <w:color w:val="auto"/>
                <w:szCs w:val="21"/>
                <w:highlight w:val="none"/>
              </w:rPr>
              <w:t>，</w:t>
            </w:r>
            <w:r>
              <w:rPr>
                <w:color w:val="auto"/>
                <w:szCs w:val="21"/>
                <w:highlight w:val="none"/>
              </w:rPr>
              <w:t>分辨率</w:t>
            </w:r>
            <w:r>
              <w:rPr>
                <w:rFonts w:hint="eastAsia"/>
                <w:color w:val="auto"/>
                <w:szCs w:val="21"/>
                <w:highlight w:val="none"/>
              </w:rPr>
              <w:t>：</w:t>
            </w:r>
            <w:r>
              <w:rPr>
                <w:color w:val="auto"/>
                <w:szCs w:val="21"/>
                <w:highlight w:val="none"/>
              </w:rPr>
              <w:t>1m</w:t>
            </w:r>
            <w:r>
              <w:rPr>
                <w:rFonts w:hint="eastAsia"/>
                <w:color w:val="auto"/>
                <w:szCs w:val="21"/>
                <w:highlight w:val="none"/>
              </w:rPr>
              <w:t>，</w:t>
            </w:r>
            <w:r>
              <w:rPr>
                <w:color w:val="auto"/>
                <w:szCs w:val="21"/>
                <w:highlight w:val="none"/>
              </w:rPr>
              <w:t>误差</w:t>
            </w:r>
            <w:r>
              <w:rPr>
                <w:rFonts w:hint="eastAsia"/>
                <w:color w:val="auto"/>
                <w:szCs w:val="21"/>
                <w:highlight w:val="none"/>
              </w:rPr>
              <w:t>：</w:t>
            </w:r>
            <w:r>
              <w:rPr>
                <w:color w:val="auto"/>
                <w:szCs w:val="21"/>
                <w:highlight w:val="none"/>
              </w:rPr>
              <w:t>≤2km ±2%2km~10km ±5%&gt;10km ±10%</w:t>
            </w:r>
            <w:r>
              <w:rPr>
                <w:rFonts w:hint="eastAsia"/>
                <w:color w:val="auto"/>
                <w:szCs w:val="21"/>
                <w:highlight w:val="none"/>
              </w:rPr>
              <w:t>；</w:t>
            </w:r>
          </w:p>
          <w:p w14:paraId="6743A43C">
            <w:pPr>
              <w:rPr>
                <w:color w:val="auto"/>
                <w:szCs w:val="21"/>
                <w:highlight w:val="none"/>
              </w:rPr>
            </w:pPr>
            <w:r>
              <w:rPr>
                <w:rFonts w:hint="eastAsia"/>
                <w:color w:val="auto"/>
                <w:szCs w:val="21"/>
                <w:highlight w:val="none"/>
              </w:rPr>
              <w:t>3、</w:t>
            </w:r>
            <w:r>
              <w:rPr>
                <w:color w:val="auto"/>
                <w:szCs w:val="21"/>
                <w:highlight w:val="none"/>
              </w:rPr>
              <w:t>重复性</w:t>
            </w:r>
            <w:r>
              <w:rPr>
                <w:rFonts w:hint="eastAsia"/>
                <w:color w:val="auto"/>
                <w:szCs w:val="21"/>
                <w:highlight w:val="none"/>
              </w:rPr>
              <w:t>：</w:t>
            </w:r>
            <w:r>
              <w:rPr>
                <w:color w:val="auto"/>
                <w:szCs w:val="21"/>
                <w:highlight w:val="none"/>
              </w:rPr>
              <w:t>≤4%</w:t>
            </w:r>
            <w:r>
              <w:rPr>
                <w:rFonts w:hint="eastAsia"/>
                <w:color w:val="auto"/>
                <w:szCs w:val="21"/>
                <w:highlight w:val="none"/>
              </w:rPr>
              <w:t>；</w:t>
            </w:r>
          </w:p>
          <w:p w14:paraId="29007C7F">
            <w:pPr>
              <w:rPr>
                <w:color w:val="auto"/>
                <w:szCs w:val="21"/>
                <w:highlight w:val="none"/>
              </w:rPr>
            </w:pPr>
            <w:r>
              <w:rPr>
                <w:rFonts w:hint="eastAsia"/>
                <w:color w:val="auto"/>
                <w:szCs w:val="21"/>
                <w:highlight w:val="none"/>
              </w:rPr>
              <w:t>▲4、</w:t>
            </w:r>
            <w:r>
              <w:rPr>
                <w:color w:val="auto"/>
                <w:szCs w:val="21"/>
                <w:highlight w:val="none"/>
              </w:rPr>
              <w:t>天气现象</w:t>
            </w:r>
            <w:r>
              <w:rPr>
                <w:rFonts w:hint="eastAsia"/>
                <w:color w:val="auto"/>
                <w:szCs w:val="21"/>
                <w:highlight w:val="none"/>
              </w:rPr>
              <w:t>识别：</w:t>
            </w:r>
            <w:r>
              <w:rPr>
                <w:color w:val="auto"/>
                <w:szCs w:val="21"/>
                <w:highlight w:val="none"/>
              </w:rPr>
              <w:t>雾、雨、雪、混合降水、晴</w:t>
            </w:r>
            <w:r>
              <w:rPr>
                <w:rFonts w:hint="eastAsia"/>
                <w:color w:val="auto"/>
                <w:szCs w:val="21"/>
                <w:highlight w:val="none"/>
              </w:rPr>
              <w:t>等；</w:t>
            </w:r>
          </w:p>
          <w:p w14:paraId="12B4E0CB">
            <w:pPr>
              <w:rPr>
                <w:color w:val="auto"/>
                <w:szCs w:val="21"/>
                <w:highlight w:val="none"/>
              </w:rPr>
            </w:pPr>
            <w:r>
              <w:rPr>
                <w:rFonts w:hint="eastAsia"/>
                <w:color w:val="auto"/>
                <w:szCs w:val="21"/>
                <w:highlight w:val="none"/>
              </w:rPr>
              <w:t>▲5、</w:t>
            </w:r>
            <w:r>
              <w:rPr>
                <w:color w:val="auto"/>
                <w:szCs w:val="21"/>
                <w:highlight w:val="none"/>
              </w:rPr>
              <w:t>天气现象识别率</w:t>
            </w:r>
            <w:r>
              <w:rPr>
                <w:rFonts w:hint="eastAsia"/>
                <w:color w:val="auto"/>
                <w:szCs w:val="21"/>
                <w:highlight w:val="none"/>
              </w:rPr>
              <w:t>：</w:t>
            </w:r>
            <w:r>
              <w:rPr>
                <w:color w:val="auto"/>
                <w:szCs w:val="21"/>
                <w:highlight w:val="none"/>
              </w:rPr>
              <w:t>≥95%</w:t>
            </w:r>
            <w:r>
              <w:rPr>
                <w:rFonts w:hint="eastAsia"/>
                <w:color w:val="auto"/>
                <w:szCs w:val="21"/>
                <w:highlight w:val="none"/>
              </w:rPr>
              <w:t>；</w:t>
            </w:r>
          </w:p>
          <w:p w14:paraId="40207841">
            <w:pPr>
              <w:rPr>
                <w:color w:val="auto"/>
                <w:szCs w:val="21"/>
                <w:highlight w:val="none"/>
              </w:rPr>
            </w:pPr>
            <w:r>
              <w:rPr>
                <w:rFonts w:hint="eastAsia"/>
                <w:color w:val="auto"/>
                <w:szCs w:val="21"/>
                <w:highlight w:val="none"/>
              </w:rPr>
              <w:t>6、仪器外壳为高质量铝材料，内置看门狗电路，仪器通信、电源接口均含防雷设计；</w:t>
            </w:r>
          </w:p>
          <w:p w14:paraId="38B22B68">
            <w:pPr>
              <w:rPr>
                <w:color w:val="auto"/>
                <w:szCs w:val="21"/>
                <w:highlight w:val="none"/>
              </w:rPr>
            </w:pPr>
            <w:r>
              <w:rPr>
                <w:rFonts w:hint="eastAsia"/>
                <w:color w:val="auto"/>
                <w:szCs w:val="21"/>
                <w:highlight w:val="none"/>
              </w:rPr>
              <w:t>7、</w:t>
            </w:r>
            <w:r>
              <w:rPr>
                <w:color w:val="auto"/>
                <w:szCs w:val="21"/>
                <w:highlight w:val="none"/>
              </w:rPr>
              <w:t>数字接口使用RS485或RS232</w:t>
            </w:r>
            <w:r>
              <w:rPr>
                <w:rFonts w:hint="eastAsia"/>
                <w:color w:val="auto"/>
                <w:szCs w:val="21"/>
                <w:highlight w:val="none"/>
              </w:rPr>
              <w:t>，</w:t>
            </w:r>
            <w:r>
              <w:rPr>
                <w:color w:val="auto"/>
                <w:szCs w:val="21"/>
                <w:highlight w:val="none"/>
              </w:rPr>
              <w:t>可输出15s、1min、10min能见度值</w:t>
            </w:r>
            <w:r>
              <w:rPr>
                <w:rFonts w:hint="eastAsia"/>
                <w:color w:val="auto"/>
                <w:szCs w:val="21"/>
                <w:highlight w:val="none"/>
              </w:rPr>
              <w:t>；</w:t>
            </w:r>
          </w:p>
          <w:p w14:paraId="26380DCC">
            <w:pPr>
              <w:rPr>
                <w:color w:val="auto"/>
                <w:szCs w:val="21"/>
                <w:highlight w:val="none"/>
              </w:rPr>
            </w:pPr>
            <w:r>
              <w:rPr>
                <w:rFonts w:hint="eastAsia"/>
                <w:color w:val="auto"/>
                <w:szCs w:val="21"/>
                <w:highlight w:val="none"/>
              </w:rPr>
              <w:t>7、</w:t>
            </w:r>
            <w:r>
              <w:rPr>
                <w:color w:val="auto"/>
                <w:szCs w:val="21"/>
                <w:highlight w:val="none"/>
              </w:rPr>
              <w:t>工作温度</w:t>
            </w:r>
            <w:r>
              <w:rPr>
                <w:rFonts w:hint="eastAsia"/>
                <w:color w:val="auto"/>
                <w:szCs w:val="21"/>
                <w:highlight w:val="none"/>
              </w:rPr>
              <w:t>：</w:t>
            </w:r>
            <w:r>
              <w:rPr>
                <w:color w:val="auto"/>
                <w:szCs w:val="21"/>
                <w:highlight w:val="none"/>
              </w:rPr>
              <w:t>-40~60℃</w:t>
            </w:r>
            <w:r>
              <w:rPr>
                <w:rFonts w:hint="eastAsia"/>
                <w:color w:val="auto"/>
                <w:szCs w:val="21"/>
                <w:highlight w:val="none"/>
              </w:rPr>
              <w:t>；</w:t>
            </w:r>
          </w:p>
          <w:p w14:paraId="4F761CDB">
            <w:pPr>
              <w:rPr>
                <w:color w:val="auto"/>
                <w:szCs w:val="21"/>
                <w:highlight w:val="none"/>
              </w:rPr>
            </w:pPr>
            <w:r>
              <w:rPr>
                <w:rFonts w:hint="eastAsia"/>
                <w:color w:val="auto"/>
                <w:szCs w:val="21"/>
                <w:highlight w:val="none"/>
              </w:rPr>
              <w:t>8、</w:t>
            </w:r>
            <w:r>
              <w:rPr>
                <w:color w:val="auto"/>
                <w:szCs w:val="21"/>
                <w:highlight w:val="none"/>
              </w:rPr>
              <w:t>工作湿度</w:t>
            </w:r>
            <w:r>
              <w:rPr>
                <w:rFonts w:hint="eastAsia"/>
                <w:color w:val="auto"/>
                <w:szCs w:val="21"/>
                <w:highlight w:val="none"/>
              </w:rPr>
              <w:t>：</w:t>
            </w:r>
            <w:r>
              <w:rPr>
                <w:color w:val="auto"/>
                <w:szCs w:val="21"/>
                <w:highlight w:val="none"/>
              </w:rPr>
              <w:t>0~100%RH</w:t>
            </w:r>
            <w:r>
              <w:rPr>
                <w:rFonts w:hint="eastAsia"/>
                <w:color w:val="auto"/>
                <w:szCs w:val="21"/>
                <w:highlight w:val="none"/>
              </w:rPr>
              <w:t>；</w:t>
            </w:r>
          </w:p>
          <w:p w14:paraId="013DDDEC">
            <w:pPr>
              <w:rPr>
                <w:color w:val="auto"/>
                <w:szCs w:val="21"/>
                <w:highlight w:val="none"/>
              </w:rPr>
            </w:pPr>
            <w:r>
              <w:rPr>
                <w:rFonts w:hint="eastAsia"/>
                <w:color w:val="auto"/>
                <w:szCs w:val="21"/>
                <w:highlight w:val="none"/>
              </w:rPr>
              <w:t>9、</w:t>
            </w:r>
            <w:r>
              <w:rPr>
                <w:color w:val="auto"/>
                <w:szCs w:val="21"/>
                <w:highlight w:val="none"/>
              </w:rPr>
              <w:t>工作电源</w:t>
            </w:r>
            <w:r>
              <w:rPr>
                <w:rFonts w:hint="eastAsia"/>
                <w:color w:val="auto"/>
                <w:szCs w:val="21"/>
                <w:highlight w:val="none"/>
              </w:rPr>
              <w:t>：</w:t>
            </w:r>
            <w:r>
              <w:rPr>
                <w:color w:val="auto"/>
                <w:szCs w:val="21"/>
                <w:highlight w:val="none"/>
              </w:rPr>
              <w:t>12~24V</w:t>
            </w:r>
            <w:r>
              <w:rPr>
                <w:rFonts w:hint="eastAsia"/>
                <w:color w:val="auto"/>
                <w:szCs w:val="21"/>
                <w:highlight w:val="none"/>
              </w:rPr>
              <w:t>；</w:t>
            </w:r>
          </w:p>
          <w:p w14:paraId="3D774A7A">
            <w:pPr>
              <w:rPr>
                <w:color w:val="auto"/>
                <w:szCs w:val="21"/>
                <w:highlight w:val="none"/>
              </w:rPr>
            </w:pPr>
            <w:r>
              <w:rPr>
                <w:rFonts w:hint="eastAsia"/>
                <w:color w:val="auto"/>
                <w:szCs w:val="21"/>
                <w:highlight w:val="none"/>
              </w:rPr>
              <w:t>10、</w:t>
            </w:r>
            <w:r>
              <w:rPr>
                <w:color w:val="auto"/>
                <w:szCs w:val="21"/>
                <w:highlight w:val="none"/>
              </w:rPr>
              <w:t>功耗</w:t>
            </w:r>
            <w:r>
              <w:rPr>
                <w:rFonts w:hint="eastAsia"/>
                <w:color w:val="auto"/>
                <w:szCs w:val="21"/>
                <w:highlight w:val="none"/>
              </w:rPr>
              <w:t>：</w:t>
            </w:r>
            <w:r>
              <w:rPr>
                <w:color w:val="auto"/>
                <w:szCs w:val="21"/>
                <w:highlight w:val="none"/>
              </w:rPr>
              <w:t>≤1W</w:t>
            </w:r>
            <w:r>
              <w:rPr>
                <w:rFonts w:hint="eastAsia"/>
                <w:color w:val="auto"/>
                <w:szCs w:val="21"/>
                <w:highlight w:val="none"/>
              </w:rPr>
              <w:t>；</w:t>
            </w:r>
          </w:p>
          <w:p w14:paraId="2470F673">
            <w:pPr>
              <w:rPr>
                <w:color w:val="auto"/>
                <w:szCs w:val="21"/>
                <w:highlight w:val="none"/>
              </w:rPr>
            </w:pPr>
            <w:r>
              <w:rPr>
                <w:rFonts w:hint="eastAsia"/>
                <w:color w:val="auto"/>
                <w:szCs w:val="21"/>
                <w:highlight w:val="none"/>
              </w:rPr>
              <w:t>11、</w:t>
            </w:r>
            <w:r>
              <w:rPr>
                <w:color w:val="auto"/>
                <w:szCs w:val="21"/>
                <w:highlight w:val="none"/>
              </w:rPr>
              <w:t>重量</w:t>
            </w:r>
            <w:r>
              <w:rPr>
                <w:rFonts w:hint="eastAsia"/>
                <w:color w:val="auto"/>
                <w:szCs w:val="21"/>
                <w:highlight w:val="none"/>
              </w:rPr>
              <w:t>：</w:t>
            </w:r>
            <w:r>
              <w:rPr>
                <w:color w:val="auto"/>
                <w:szCs w:val="21"/>
                <w:highlight w:val="none"/>
              </w:rPr>
              <w:t>≤10kg</w:t>
            </w:r>
            <w:r>
              <w:rPr>
                <w:rFonts w:hint="eastAsia"/>
                <w:color w:val="auto"/>
                <w:szCs w:val="21"/>
                <w:highlight w:val="none"/>
              </w:rPr>
              <w:t>；</w:t>
            </w:r>
          </w:p>
        </w:tc>
      </w:tr>
    </w:tbl>
    <w:p w14:paraId="779C3049">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rPr>
        <w:t>四、商务要求</w:t>
      </w:r>
    </w:p>
    <w:tbl>
      <w:tblPr>
        <w:tblStyle w:val="4"/>
        <w:tblpPr w:leftFromText="180" w:rightFromText="180" w:vertAnchor="text" w:horzAnchor="page" w:tblpX="2277" w:tblpY="166"/>
        <w:tblOverlap w:val="never"/>
        <w:tblW w:w="8528" w:type="dxa"/>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071"/>
        <w:gridCol w:w="6457"/>
      </w:tblGrid>
      <w:tr w14:paraId="0AF58E4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3DF54C91">
            <w:pPr>
              <w:shd w:val="solid" w:color="FFFFFF" w:fill="auto"/>
              <w:autoSpaceDN w:val="0"/>
              <w:snapToGrid w:val="0"/>
              <w:spacing w:line="360" w:lineRule="auto"/>
              <w:jc w:val="center"/>
              <w:rPr>
                <w:rFonts w:ascii="宋体" w:hAnsi="宋体"/>
                <w:color w:val="auto"/>
                <w:szCs w:val="21"/>
                <w:highlight w:val="none"/>
                <w:shd w:val="clear" w:color="auto" w:fill="FFFFFF"/>
              </w:rPr>
            </w:pPr>
            <w:r>
              <w:rPr>
                <w:rFonts w:ascii="宋体" w:hAnsi="宋体"/>
                <w:color w:val="auto"/>
                <w:szCs w:val="21"/>
                <w:highlight w:val="none"/>
                <w:shd w:val="clear" w:color="auto" w:fill="FFFFFF"/>
              </w:rPr>
              <w:t>质保期</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06872DD2">
            <w:pPr>
              <w:shd w:val="solid" w:color="FFFFFF" w:fill="auto"/>
              <w:autoSpaceDN w:val="0"/>
              <w:snapToGrid w:val="0"/>
              <w:spacing w:line="360" w:lineRule="auto"/>
              <w:jc w:val="left"/>
              <w:rPr>
                <w:rFonts w:ascii="宋体" w:hAnsi="宋体"/>
                <w:color w:val="auto"/>
                <w:szCs w:val="21"/>
                <w:highlight w:val="none"/>
                <w:shd w:val="clear" w:color="auto" w:fill="FFFFFF"/>
              </w:rPr>
            </w:pPr>
            <w:r>
              <w:rPr>
                <w:rFonts w:ascii="宋体" w:hAnsi="宋体"/>
                <w:color w:val="auto"/>
                <w:szCs w:val="21"/>
                <w:highlight w:val="none"/>
                <w:shd w:val="clear" w:color="auto" w:fill="FFFFFF"/>
              </w:rPr>
              <w:t>国家有统一规定的执行国家规定，没有规定的原则上不少于12个月</w:t>
            </w:r>
            <w:r>
              <w:rPr>
                <w:rFonts w:hint="eastAsia" w:ascii="宋体" w:hAnsi="宋体"/>
                <w:color w:val="auto"/>
                <w:szCs w:val="21"/>
                <w:highlight w:val="none"/>
                <w:shd w:val="clear" w:color="auto" w:fill="FFFFFF"/>
              </w:rPr>
              <w:t>，</w:t>
            </w:r>
            <w:r>
              <w:rPr>
                <w:rFonts w:hint="eastAsia" w:ascii="宋体" w:hAnsi="宋体" w:cs="宋体"/>
                <w:color w:val="auto"/>
                <w:highlight w:val="none"/>
              </w:rPr>
              <w:t>质保期自采购人验收合格之日起开始计算</w:t>
            </w:r>
          </w:p>
        </w:tc>
      </w:tr>
      <w:tr w14:paraId="1D19BD2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09603474">
            <w:pPr>
              <w:shd w:val="solid" w:color="FFFFFF" w:fill="auto"/>
              <w:autoSpaceDN w:val="0"/>
              <w:snapToGrid w:val="0"/>
              <w:spacing w:line="360" w:lineRule="auto"/>
              <w:jc w:val="center"/>
              <w:rPr>
                <w:rFonts w:ascii="宋体" w:hAnsi="宋体"/>
                <w:color w:val="auto"/>
                <w:szCs w:val="21"/>
                <w:highlight w:val="none"/>
                <w:shd w:val="clear" w:color="auto" w:fill="FFFFFF"/>
              </w:rPr>
            </w:pPr>
            <w:r>
              <w:rPr>
                <w:rFonts w:ascii="宋体" w:hAnsi="宋体"/>
                <w:color w:val="auto"/>
                <w:szCs w:val="21"/>
                <w:highlight w:val="none"/>
                <w:shd w:val="clear" w:color="auto" w:fill="FFFFFF"/>
              </w:rPr>
              <w:t>售后技术服务要求</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4AC906E1">
            <w:pPr>
              <w:shd w:val="solid" w:color="FFFFFF" w:fill="auto"/>
              <w:autoSpaceDN w:val="0"/>
              <w:snapToGrid w:val="0"/>
              <w:spacing w:line="360" w:lineRule="auto"/>
              <w:jc w:val="left"/>
              <w:rPr>
                <w:rFonts w:ascii="宋体" w:hAnsi="宋体"/>
                <w:color w:val="auto"/>
                <w:szCs w:val="21"/>
                <w:highlight w:val="none"/>
                <w:shd w:val="clear" w:color="auto" w:fill="FFFFFF"/>
              </w:rPr>
            </w:pPr>
            <w:r>
              <w:rPr>
                <w:rFonts w:ascii="宋体" w:hAnsi="宋体"/>
                <w:color w:val="auto"/>
                <w:szCs w:val="21"/>
                <w:highlight w:val="none"/>
                <w:shd w:val="clear" w:color="auto" w:fill="FFFFFF"/>
              </w:rPr>
              <w:t>含安装、调试、维修、保养、人员培训等。</w:t>
            </w:r>
          </w:p>
        </w:tc>
      </w:tr>
      <w:tr w14:paraId="72CB931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77"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7F7B6693">
            <w:pPr>
              <w:shd w:val="solid" w:color="FFFFFF" w:fill="auto"/>
              <w:autoSpaceDN w:val="0"/>
              <w:snapToGrid w:val="0"/>
              <w:spacing w:line="360" w:lineRule="auto"/>
              <w:jc w:val="center"/>
              <w:rPr>
                <w:rFonts w:ascii="宋体" w:hAnsi="宋体"/>
                <w:color w:val="auto"/>
                <w:szCs w:val="21"/>
                <w:highlight w:val="none"/>
                <w:shd w:val="clear" w:color="auto" w:fill="FFFFFF"/>
              </w:rPr>
            </w:pPr>
            <w:r>
              <w:rPr>
                <w:rFonts w:ascii="宋体" w:hAnsi="宋体"/>
                <w:color w:val="auto"/>
                <w:szCs w:val="21"/>
                <w:highlight w:val="none"/>
                <w:shd w:val="clear" w:color="auto" w:fill="FFFFFF"/>
              </w:rPr>
              <w:t>交货时间</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3C1AFF94">
            <w:pPr>
              <w:shd w:val="solid" w:color="FFFFFF" w:fill="auto"/>
              <w:autoSpaceDN w:val="0"/>
              <w:snapToGrid w:val="0"/>
              <w:spacing w:after="100" w:afterAutospacing="1"/>
              <w:jc w:val="left"/>
              <w:rPr>
                <w:rFonts w:ascii="宋体" w:hAnsi="宋体"/>
                <w:color w:val="auto"/>
                <w:szCs w:val="21"/>
                <w:highlight w:val="none"/>
                <w:shd w:val="clear" w:color="auto" w:fill="FFFFFF"/>
              </w:rPr>
            </w:pPr>
            <w:r>
              <w:rPr>
                <w:rFonts w:hint="eastAsia" w:ascii="宋体" w:hAnsi="宋体" w:cs="宋体"/>
                <w:color w:val="auto"/>
                <w:highlight w:val="none"/>
              </w:rPr>
              <w:t>合同签订生效</w:t>
            </w:r>
            <w:r>
              <w:rPr>
                <w:rFonts w:hint="eastAsia" w:ascii="宋体" w:hAnsi="宋体" w:cs="宋体"/>
                <w:color w:val="auto"/>
                <w:szCs w:val="21"/>
                <w:highlight w:val="none"/>
              </w:rPr>
              <w:t>后10个工作日内。</w:t>
            </w:r>
            <w:r>
              <w:rPr>
                <w:rFonts w:hint="eastAsia" w:ascii="宋体" w:hAnsi="宋体" w:cs="宋体"/>
                <w:color w:val="auto"/>
                <w:highlight w:val="none"/>
              </w:rPr>
              <w:t>逾期提供货物，每天按合同款总额2‰的额度支付延期交货违约金（具体见第五章合同条款）。</w:t>
            </w:r>
          </w:p>
        </w:tc>
      </w:tr>
      <w:tr w14:paraId="079748F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78"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06D63698">
            <w:pPr>
              <w:shd w:val="solid" w:color="FFFFFF" w:fill="auto"/>
              <w:autoSpaceDN w:val="0"/>
              <w:snapToGrid w:val="0"/>
              <w:spacing w:line="360" w:lineRule="auto"/>
              <w:jc w:val="center"/>
              <w:rPr>
                <w:rFonts w:ascii="宋体" w:hAnsi="宋体"/>
                <w:color w:val="auto"/>
                <w:szCs w:val="21"/>
                <w:highlight w:val="none"/>
                <w:shd w:val="clear" w:color="auto" w:fill="FFFFFF"/>
              </w:rPr>
            </w:pPr>
            <w:r>
              <w:rPr>
                <w:rFonts w:ascii="宋体" w:hAnsi="宋体"/>
                <w:color w:val="auto"/>
                <w:szCs w:val="21"/>
                <w:highlight w:val="none"/>
                <w:shd w:val="clear" w:color="auto" w:fill="FFFFFF"/>
              </w:rPr>
              <w:t>付款方式</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62F90DE7">
            <w:pPr>
              <w:shd w:val="solid" w:color="FFFFFF" w:fill="auto"/>
              <w:autoSpaceDN w:val="0"/>
              <w:snapToGrid w:val="0"/>
              <w:spacing w:line="360" w:lineRule="auto"/>
              <w:jc w:val="left"/>
              <w:rPr>
                <w:rFonts w:ascii="宋体" w:hAnsi="宋体"/>
                <w:color w:val="auto"/>
                <w:szCs w:val="21"/>
                <w:highlight w:val="none"/>
                <w:shd w:val="clear" w:color="auto" w:fill="FFFFFF"/>
              </w:rPr>
            </w:pPr>
            <w:r>
              <w:rPr>
                <w:rFonts w:ascii="宋体" w:hAnsi="宋体"/>
                <w:color w:val="auto"/>
                <w:szCs w:val="21"/>
                <w:highlight w:val="none"/>
                <w:shd w:val="clear" w:color="auto" w:fill="FFFFFF"/>
              </w:rPr>
              <w:t>见</w:t>
            </w:r>
            <w:r>
              <w:rPr>
                <w:rFonts w:hint="eastAsia"/>
                <w:color w:val="auto"/>
                <w:szCs w:val="21"/>
                <w:highlight w:val="none"/>
              </w:rPr>
              <w:t>第五章合同条款</w:t>
            </w:r>
          </w:p>
        </w:tc>
      </w:tr>
      <w:tr w14:paraId="0B67F0E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925"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51D6CA60">
            <w:pPr>
              <w:shd w:val="solid" w:color="FFFFFF" w:fill="auto"/>
              <w:autoSpaceDN w:val="0"/>
              <w:snapToGrid w:val="0"/>
              <w:spacing w:line="360" w:lineRule="auto"/>
              <w:jc w:val="center"/>
              <w:rPr>
                <w:rFonts w:ascii="宋体" w:hAnsi="宋体"/>
                <w:color w:val="auto"/>
                <w:szCs w:val="21"/>
                <w:highlight w:val="none"/>
                <w:shd w:val="clear" w:color="auto" w:fill="FFFFFF"/>
              </w:rPr>
            </w:pPr>
            <w:r>
              <w:rPr>
                <w:rFonts w:ascii="宋体" w:hAnsi="宋体"/>
                <w:color w:val="auto"/>
                <w:szCs w:val="21"/>
                <w:highlight w:val="none"/>
                <w:shd w:val="clear" w:color="auto" w:fill="FFFFFF"/>
              </w:rPr>
              <w:t>售后服务保障或维修响应时间要求</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381EA9E1">
            <w:pPr>
              <w:shd w:val="solid" w:color="FFFFFF" w:fill="auto"/>
              <w:autoSpaceDN w:val="0"/>
              <w:snapToGrid w:val="0"/>
              <w:spacing w:line="360" w:lineRule="auto"/>
              <w:jc w:val="left"/>
              <w:rPr>
                <w:rFonts w:ascii="宋体" w:hAnsi="宋体"/>
                <w:color w:val="auto"/>
                <w:szCs w:val="21"/>
                <w:highlight w:val="none"/>
                <w:shd w:val="clear" w:color="auto" w:fill="FFFFFF"/>
              </w:rPr>
            </w:pPr>
            <w:r>
              <w:rPr>
                <w:rFonts w:hint="eastAsia" w:ascii="宋体" w:hAnsi="宋体" w:cs="宋体"/>
                <w:color w:val="auto"/>
                <w:szCs w:val="21"/>
                <w:highlight w:val="none"/>
              </w:rPr>
              <w:t>乙方</w:t>
            </w:r>
            <w:r>
              <w:rPr>
                <w:rFonts w:hint="eastAsia" w:ascii="宋体" w:hAnsi="宋体" w:cs="宋体"/>
                <w:color w:val="auto"/>
                <w:szCs w:val="21"/>
                <w:highlight w:val="none"/>
                <w:u w:val="single"/>
              </w:rPr>
              <w:t xml:space="preserve"> 8 </w:t>
            </w:r>
            <w:r>
              <w:rPr>
                <w:rFonts w:hint="eastAsia" w:ascii="宋体" w:hAnsi="宋体" w:cs="宋体"/>
                <w:color w:val="auto"/>
                <w:szCs w:val="21"/>
                <w:highlight w:val="none"/>
              </w:rPr>
              <w:t>小时内响应甲方的维修要求，</w:t>
            </w:r>
            <w:r>
              <w:rPr>
                <w:rFonts w:hint="eastAsia" w:ascii="宋体" w:hAnsi="宋体" w:cs="宋体"/>
                <w:color w:val="auto"/>
                <w:szCs w:val="21"/>
                <w:highlight w:val="none"/>
                <w:u w:val="single"/>
              </w:rPr>
              <w:t xml:space="preserve"> 24 </w:t>
            </w:r>
            <w:r>
              <w:rPr>
                <w:rFonts w:hint="eastAsia" w:ascii="宋体" w:hAnsi="宋体" w:cs="宋体"/>
                <w:color w:val="auto"/>
                <w:szCs w:val="21"/>
                <w:highlight w:val="none"/>
              </w:rPr>
              <w:t>小时内解决，如超过</w:t>
            </w:r>
            <w:r>
              <w:rPr>
                <w:rFonts w:hint="eastAsia" w:ascii="宋体" w:hAnsi="宋体" w:cs="宋体"/>
                <w:color w:val="auto"/>
                <w:szCs w:val="21"/>
                <w:highlight w:val="none"/>
                <w:u w:val="single"/>
              </w:rPr>
              <w:t xml:space="preserve"> 48 </w:t>
            </w:r>
            <w:r>
              <w:rPr>
                <w:rFonts w:hint="eastAsia" w:ascii="宋体" w:hAnsi="宋体" w:cs="宋体"/>
                <w:color w:val="auto"/>
                <w:szCs w:val="21"/>
                <w:highlight w:val="none"/>
              </w:rPr>
              <w:t>小时仍不能解决，由乙方在</w:t>
            </w:r>
            <w:r>
              <w:rPr>
                <w:rFonts w:hint="eastAsia" w:ascii="宋体" w:hAnsi="宋体" w:cs="宋体"/>
                <w:color w:val="auto"/>
                <w:szCs w:val="21"/>
                <w:highlight w:val="none"/>
                <w:u w:val="single"/>
              </w:rPr>
              <w:t xml:space="preserve"> 144 </w:t>
            </w:r>
            <w:r>
              <w:rPr>
                <w:rFonts w:hint="eastAsia" w:ascii="宋体" w:hAnsi="宋体" w:cs="宋体"/>
                <w:color w:val="auto"/>
                <w:szCs w:val="21"/>
                <w:highlight w:val="none"/>
              </w:rPr>
              <w:t>小时内提供性能不低于故障产品的备用产品。</w:t>
            </w:r>
          </w:p>
        </w:tc>
      </w:tr>
    </w:tbl>
    <w:p w14:paraId="2D90E745">
      <w:pPr>
        <w:spacing w:line="300" w:lineRule="auto"/>
        <w:ind w:firstLine="480" w:firstLineChars="200"/>
        <w:rPr>
          <w:rFonts w:ascii="宋体" w:hAnsi="宋体"/>
          <w:color w:val="auto"/>
          <w:sz w:val="24"/>
          <w:highlight w:val="none"/>
        </w:rPr>
      </w:pPr>
    </w:p>
    <w:p w14:paraId="2B04FB63">
      <w:pPr>
        <w:spacing w:line="300" w:lineRule="auto"/>
        <w:ind w:firstLine="482" w:firstLineChars="200"/>
        <w:rPr>
          <w:rFonts w:ascii="宋体" w:hAnsi="宋体"/>
          <w:b/>
          <w:color w:val="auto"/>
          <w:sz w:val="24"/>
          <w:highlight w:val="none"/>
        </w:rPr>
      </w:pPr>
      <w:r>
        <w:rPr>
          <w:rFonts w:hint="eastAsia" w:ascii="宋体" w:hAnsi="宋体"/>
          <w:b/>
          <w:color w:val="auto"/>
          <w:sz w:val="24"/>
          <w:highlight w:val="none"/>
        </w:rPr>
        <w:t>五、履约验收要求</w:t>
      </w:r>
    </w:p>
    <w:p w14:paraId="792CDD14">
      <w:pPr>
        <w:spacing w:line="300" w:lineRule="auto"/>
        <w:ind w:firstLine="420" w:firstLineChars="200"/>
        <w:rPr>
          <w:rFonts w:ascii="宋体" w:hAnsi="宋体"/>
          <w:color w:val="auto"/>
          <w:szCs w:val="21"/>
          <w:highlight w:val="none"/>
        </w:rPr>
      </w:pPr>
      <w:r>
        <w:rPr>
          <w:rFonts w:hint="eastAsia" w:ascii="宋体" w:hAnsi="宋体"/>
          <w:color w:val="auto"/>
          <w:szCs w:val="21"/>
          <w:highlight w:val="none"/>
        </w:rPr>
        <w:t>中标人严格按约定时间供货，提供的货物必须符合我国最新颁布的与之相关的技术规范与标准，成品货物的到货验收包括但不限于：品名、品牌、尺码、数量、质量、铭牌、产品外观及外包装完整无破损。</w:t>
      </w:r>
    </w:p>
    <w:p w14:paraId="492A397B">
      <w:pPr>
        <w:spacing w:line="300" w:lineRule="auto"/>
        <w:ind w:firstLine="420" w:firstLineChars="200"/>
        <w:rPr>
          <w:rFonts w:ascii="宋体" w:hAnsi="宋体"/>
          <w:color w:val="auto"/>
          <w:szCs w:val="21"/>
          <w:highlight w:val="none"/>
        </w:rPr>
      </w:pPr>
      <w:r>
        <w:rPr>
          <w:rFonts w:hint="eastAsia" w:ascii="宋体" w:hAnsi="宋体"/>
          <w:color w:val="auto"/>
          <w:szCs w:val="21"/>
          <w:highlight w:val="none"/>
        </w:rPr>
        <w:t>中标人应将所提供货物的装箱清单、用户手册、原厂保修卡、随机资料及配件工具等交付给采购人。中标人不能完整交付货物及本款规定的单证和工具的，视为未按合同约定交货，应负责补齐，因此导致逾期交付的，由中标人承担相关的违约责任。</w:t>
      </w:r>
    </w:p>
    <w:p w14:paraId="73EC0F34">
      <w:pPr>
        <w:spacing w:line="300" w:lineRule="auto"/>
        <w:ind w:firstLine="420" w:firstLineChars="200"/>
        <w:rPr>
          <w:rFonts w:ascii="宋体" w:hAnsi="宋体"/>
          <w:color w:val="auto"/>
          <w:szCs w:val="21"/>
          <w:highlight w:val="none"/>
        </w:rPr>
      </w:pPr>
      <w:r>
        <w:rPr>
          <w:rFonts w:hint="eastAsia" w:ascii="宋体" w:hAnsi="宋体"/>
          <w:color w:val="auto"/>
          <w:szCs w:val="21"/>
          <w:highlight w:val="none"/>
        </w:rPr>
        <w:t>中标人在交货前应对所有货物初步检查，并列出清单，作为采购人收货验收和使用的技术条件依据，清单应随货物一起交付采购人。</w:t>
      </w:r>
    </w:p>
    <w:p w14:paraId="421030D5">
      <w:pPr>
        <w:spacing w:line="300" w:lineRule="auto"/>
        <w:ind w:firstLine="420" w:firstLineChars="200"/>
        <w:rPr>
          <w:rFonts w:ascii="宋体" w:hAnsi="宋体"/>
          <w:color w:val="auto"/>
          <w:szCs w:val="21"/>
          <w:highlight w:val="none"/>
        </w:rPr>
      </w:pPr>
      <w:r>
        <w:rPr>
          <w:rFonts w:hint="eastAsia" w:ascii="宋体" w:hAnsi="宋体"/>
          <w:color w:val="auto"/>
          <w:szCs w:val="21"/>
          <w:highlight w:val="none"/>
        </w:rPr>
        <w:t>货物运抵采购人指定地点，采购人检查和记录外包装及设备外观状况有无破损、锈蚀、受潮等，按合同和装箱单对货物的外观、质量、型号、规格、数量、配件及附件等进行清点检验。清点无误后中标方需在3天内开始组织安装、调试、培训，并取得相关完成凭证提交采购人。</w:t>
      </w:r>
    </w:p>
    <w:p w14:paraId="022E276F">
      <w:pPr>
        <w:spacing w:line="300" w:lineRule="auto"/>
        <w:ind w:firstLine="420" w:firstLineChars="200"/>
        <w:rPr>
          <w:rFonts w:ascii="宋体" w:hAnsi="宋体"/>
          <w:color w:val="auto"/>
          <w:szCs w:val="21"/>
          <w:highlight w:val="none"/>
        </w:rPr>
      </w:pPr>
      <w:r>
        <w:rPr>
          <w:rFonts w:hint="eastAsia" w:ascii="宋体" w:hAnsi="宋体"/>
          <w:color w:val="auto"/>
          <w:szCs w:val="21"/>
          <w:highlight w:val="none"/>
        </w:rPr>
        <w:t>采购人试运行合格两周内依法组织验收工作。采购人在组织履约验收前，将根据项目特点制定验收方案，明确履约验收的时间、方式、程序等内容，中标人应根据验收方案内容做好相应配合工作。如有必要，采购人邀请参加本项目的其他供应商或第三方专业机构及专家参与验收，相关意见将作为验收的参考资料。采购人成立验收小组，按照采购合同的约定对中标人的履约情况进行验收。验收时，采购人按照合同、招投标文件及货物说明书中的技术参数对货物的功能、技术指标逐项进行确认。采购人有权选择部分货物由质量监督检测部门进行检测，各项指标必须符合招投标文件的要求；未达到要求，且对采购人造成损失的，由中标人承担一切责任，并赔偿所造成的损失。</w:t>
      </w:r>
    </w:p>
    <w:p w14:paraId="3FAB8ED0">
      <w:pPr>
        <w:spacing w:line="300" w:lineRule="auto"/>
        <w:ind w:firstLine="420" w:firstLineChars="200"/>
        <w:rPr>
          <w:rFonts w:ascii="宋体" w:hAnsi="宋体"/>
          <w:color w:val="auto"/>
          <w:szCs w:val="21"/>
          <w:highlight w:val="none"/>
        </w:rPr>
      </w:pPr>
      <w:r>
        <w:rPr>
          <w:rFonts w:hint="eastAsia" w:ascii="宋体" w:hAnsi="宋体"/>
          <w:color w:val="auto"/>
          <w:szCs w:val="21"/>
          <w:highlight w:val="none"/>
        </w:rPr>
        <w:t>验收结束后，验收小组出具验收报告，列明各项标准的验收情况及项目总体评价。验收合格的项目，采购人根据采购合同的约定及时向中标人支付合同款项、退还履约保证金。验收不合格的项目，采购人依法及时处理。采购合同的履行、违约责任和解决争议的方式等适用《中华人民共和国民法典》。中标人在履约过程中有政府采购法律法规规定的违法违规情形的，采购人将及时报告相关管理部门。</w:t>
      </w:r>
    </w:p>
    <w:p w14:paraId="339291F7">
      <w:pPr>
        <w:spacing w:line="300" w:lineRule="auto"/>
        <w:ind w:firstLine="482" w:firstLineChars="200"/>
        <w:rPr>
          <w:rFonts w:ascii="宋体" w:hAnsi="宋体"/>
          <w:b/>
          <w:color w:val="auto"/>
          <w:sz w:val="24"/>
          <w:highlight w:val="none"/>
        </w:rPr>
      </w:pPr>
      <w:r>
        <w:rPr>
          <w:rFonts w:hint="eastAsia" w:ascii="宋体" w:hAnsi="宋体"/>
          <w:b/>
          <w:color w:val="auto"/>
          <w:sz w:val="24"/>
          <w:highlight w:val="none"/>
        </w:rPr>
        <w:t>六、其它要求</w:t>
      </w:r>
    </w:p>
    <w:p w14:paraId="18F67764">
      <w:pPr>
        <w:spacing w:line="300" w:lineRule="auto"/>
        <w:ind w:firstLine="420" w:firstLineChars="200"/>
        <w:rPr>
          <w:rFonts w:ascii="宋体" w:hAnsi="宋体" w:cs="MS Shell Dlg"/>
          <w:color w:val="auto"/>
          <w:szCs w:val="21"/>
          <w:highlight w:val="none"/>
        </w:rPr>
      </w:pPr>
      <w:r>
        <w:rPr>
          <w:rFonts w:hint="eastAsia" w:ascii="宋体" w:hAnsi="宋体" w:cs="MS Shell Dlg"/>
          <w:color w:val="auto"/>
          <w:szCs w:val="21"/>
          <w:highlight w:val="none"/>
        </w:rPr>
        <w:t>(1)因不同投标人的设备设计原理未必完全相同，投标人可视自身情况配置设备及附件，但应能充分满足招标人的功能及参数要求。</w:t>
      </w:r>
    </w:p>
    <w:p w14:paraId="424EF5D2">
      <w:pPr>
        <w:spacing w:line="300" w:lineRule="auto"/>
        <w:ind w:firstLine="420" w:firstLineChars="200"/>
        <w:rPr>
          <w:rFonts w:ascii="宋体" w:hAnsi="宋体" w:cs="MS Shell Dlg"/>
          <w:color w:val="auto"/>
          <w:szCs w:val="21"/>
          <w:highlight w:val="none"/>
        </w:rPr>
      </w:pPr>
      <w:r>
        <w:rPr>
          <w:rFonts w:hint="eastAsia" w:ascii="宋体" w:hAnsi="宋体" w:cs="MS Shell Dlg"/>
          <w:color w:val="auto"/>
          <w:szCs w:val="21"/>
          <w:highlight w:val="none"/>
        </w:rPr>
        <w:t>(2)投标人应保证提供满足招标人正常使用的必要配置及附件而不再需要花费任何额外的费用，即使采购方在制定招标书时要求不够具体。安装后就能正常工作。</w:t>
      </w:r>
    </w:p>
    <w:p w14:paraId="53A0CA04">
      <w:pPr>
        <w:rPr>
          <w:color w:val="auto"/>
          <w:highlight w:val="none"/>
        </w:rPr>
      </w:pPr>
      <w:r>
        <w:rPr>
          <w:rFonts w:hint="eastAsia" w:ascii="宋体" w:hAnsi="宋体" w:cs="MS Shell Dlg"/>
          <w:color w:val="auto"/>
          <w:szCs w:val="21"/>
          <w:highlight w:val="none"/>
        </w:rPr>
        <w:t xml:space="preserve">(3)房屋装修改造工程室内环境必须符合GB50325-2001《民用建筑工程室内环境污染控制规范》,并达到GB/T18883-2002《室内空气质量标准》，项目竣工后由中标人委托市级及以上检测机构进行检测并出具合格报告，如无合格报告，招标人不予验收，中标人进行整改直至合格，造成工期延误的，责任由中标人承担。  </w:t>
      </w:r>
    </w:p>
    <w:bookmarkEnd w:id="2"/>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20B0604020202030204"/>
    <w:charset w:val="00"/>
    <w:family w:val="swiss"/>
    <w:pitch w:val="default"/>
    <w:sig w:usb0="00000000" w:usb1="00000000" w:usb2="00000000" w:usb3="00000000" w:csb0="00000000" w:csb1="00000000"/>
  </w:font>
  <w:font w:name="MS Shell Dlg">
    <w:altName w:val="Microsoft Sans Serif"/>
    <w:panose1 w:val="020B0604020202020204"/>
    <w:charset w:val="00"/>
    <w:family w:val="swiss"/>
    <w:pitch w:val="default"/>
    <w:sig w:usb0="00000000" w:usb1="00000000"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4CD74">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B82DA69">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14:paraId="2B82DA69">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6A785D">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63CE755">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463CE755">
                    <w:pPr>
                      <w:pStyle w:val="3"/>
                    </w:pPr>
                    <w:r>
                      <w:fldChar w:fldCharType="begin"/>
                    </w:r>
                    <w:r>
                      <w:instrText xml:space="preserve"> PAGE  \* MERGEFORMAT </w:instrText>
                    </w:r>
                    <w:r>
                      <w:fldChar w:fldCharType="separate"/>
                    </w:r>
                    <w:r>
                      <w:t>1</w:t>
                    </w:r>
                    <w:r>
                      <w:fldChar w:fldCharType="end"/>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5D1493"/>
    <w:rsid w:val="4C5D14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2026-06-24T12:33:00Z</dcterms:created>
  <dc:creator>一秀</dc:creator>
  <cp:lastModifiedBy>一秀</cp:lastModifiedBy>
  <dcterms:modified xsi:type="dcterms:W3CDTF">2026-06-24T12:38:26Z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99E8BE6578184CFB96566A7EF8CF5470_11</vt:lpwstr>
  </property>
  <property fmtid="{D5CDD505-2E9C-101B-9397-08002B2CF9AE}" pid="4" name="KSOTemplateDocerSaveRecord">
    <vt:lpwstr>eyJoZGlkIjoiNDNmYjA2YzU3N2Y3ODEwYzFjMTFiN2YxMDM1NjUyOTkiLCJ1c2VySWQiOiIxMTAwMDQwOTMzIn0=</vt:lpwstr>
  </property>
</Properties>
</file>