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BFFEA">
      <w:pPr>
        <w:widowControl/>
        <w:jc w:val="center"/>
        <w:rPr>
          <w:b/>
          <w:color w:val="auto"/>
          <w:sz w:val="32"/>
          <w:szCs w:val="32"/>
          <w:highlight w:val="none"/>
        </w:rPr>
      </w:pPr>
      <w:bookmarkStart w:id="0" w:name="_GoBack"/>
      <w:r>
        <w:rPr>
          <w:rFonts w:hint="eastAsia"/>
          <w:b/>
          <w:color w:val="auto"/>
          <w:sz w:val="32"/>
          <w:szCs w:val="32"/>
          <w:highlight w:val="none"/>
        </w:rPr>
        <w:t>第四章 项目（货物或者服务）需求说明</w:t>
      </w:r>
      <w:bookmarkEnd w:id="0"/>
    </w:p>
    <w:p w14:paraId="6825B050">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一、项目背景（或概况）：</w:t>
      </w:r>
    </w:p>
    <w:p w14:paraId="08E9D418">
      <w:pPr>
        <w:spacing w:line="30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本项目批复文件为《中共江苏海洋大学委员会关于下达江苏海洋大学2025年度校内预算》。为学校引进学科带头人建设实验室需要，相关计划根据“江苏海洋大学学科带头人聘任合同”制定。本项目实施后，将有效补充和完善我院海洋科学科研平台与设备体系，拓展既有研究方向，为师生开展实验与科研提供更优越的硬件支撑，并创造更多跨领域合作机会。这将显著提升科研效率与质量，推动高水平科研成果的产出。校内相关教师经预约可使用实验室进行实验与理论验证，促进科研成果的转化与应用。预期项目的实施还将进一步提升我院海洋科学类科研项目的获批能力，并为海洋科学博士点建设提供有力支撑。</w:t>
      </w:r>
    </w:p>
    <w:p w14:paraId="0D7A46D5">
      <w:pPr>
        <w:spacing w:line="300" w:lineRule="auto"/>
        <w:ind w:firstLine="420" w:firstLineChars="200"/>
        <w:rPr>
          <w:rFonts w:ascii="宋体" w:hAnsi="宋体"/>
          <w:color w:val="auto"/>
          <w:szCs w:val="21"/>
          <w:highlight w:val="none"/>
        </w:rPr>
      </w:pPr>
    </w:p>
    <w:p w14:paraId="26FC1001">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二、货物（标的）采购清单：（核心产品）</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tblGrid>
      <w:tr w14:paraId="46CB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2EFEB9CD">
            <w:pPr>
              <w:widowControl/>
              <w:jc w:val="center"/>
              <w:rPr>
                <w:rFonts w:ascii="宋体" w:hAnsi="宋体" w:cs="Helvetica"/>
                <w:b/>
                <w:color w:val="auto"/>
                <w:sz w:val="24"/>
                <w:highlight w:val="none"/>
              </w:rPr>
            </w:pPr>
            <w:r>
              <w:rPr>
                <w:rFonts w:hint="eastAsia" w:ascii="宋体" w:hAnsi="宋体" w:cs="Helvetica"/>
                <w:b/>
                <w:color w:val="auto"/>
                <w:sz w:val="24"/>
                <w:highlight w:val="none"/>
              </w:rPr>
              <w:t>序号</w:t>
            </w:r>
          </w:p>
        </w:tc>
        <w:tc>
          <w:tcPr>
            <w:tcW w:w="3402" w:type="dxa"/>
            <w:vAlign w:val="center"/>
          </w:tcPr>
          <w:p w14:paraId="7D2AB33A">
            <w:pPr>
              <w:widowControl/>
              <w:jc w:val="center"/>
              <w:rPr>
                <w:rFonts w:ascii="宋体" w:hAnsi="宋体" w:cs="Helvetica"/>
                <w:b/>
                <w:color w:val="auto"/>
                <w:sz w:val="24"/>
                <w:highlight w:val="none"/>
              </w:rPr>
            </w:pPr>
            <w:r>
              <w:rPr>
                <w:rFonts w:hint="eastAsia" w:ascii="宋体" w:hAnsi="宋体" w:cs="Helvetica"/>
                <w:b/>
                <w:color w:val="auto"/>
                <w:sz w:val="24"/>
                <w:highlight w:val="none"/>
              </w:rPr>
              <w:t>货物名称</w:t>
            </w:r>
          </w:p>
        </w:tc>
        <w:tc>
          <w:tcPr>
            <w:tcW w:w="816" w:type="dxa"/>
            <w:vAlign w:val="center"/>
          </w:tcPr>
          <w:p w14:paraId="6A2ABC64">
            <w:pPr>
              <w:widowControl/>
              <w:jc w:val="center"/>
              <w:rPr>
                <w:rFonts w:ascii="宋体" w:hAnsi="Calibri"/>
                <w:b/>
                <w:color w:val="auto"/>
                <w:sz w:val="24"/>
                <w:highlight w:val="none"/>
              </w:rPr>
            </w:pPr>
            <w:r>
              <w:rPr>
                <w:rFonts w:hint="eastAsia" w:ascii="Calibri" w:hAnsi="Calibri"/>
                <w:b/>
                <w:color w:val="auto"/>
                <w:sz w:val="24"/>
                <w:highlight w:val="none"/>
              </w:rPr>
              <w:t>数量</w:t>
            </w:r>
          </w:p>
        </w:tc>
        <w:tc>
          <w:tcPr>
            <w:tcW w:w="885" w:type="dxa"/>
            <w:vAlign w:val="center"/>
          </w:tcPr>
          <w:p w14:paraId="048A4024">
            <w:pPr>
              <w:widowControl/>
              <w:jc w:val="center"/>
              <w:rPr>
                <w:rFonts w:ascii="Calibri" w:hAnsi="Calibri"/>
                <w:b/>
                <w:color w:val="auto"/>
                <w:sz w:val="24"/>
                <w:highlight w:val="none"/>
              </w:rPr>
            </w:pPr>
            <w:r>
              <w:rPr>
                <w:rFonts w:hint="eastAsia" w:ascii="Calibri" w:hAnsi="Calibri"/>
                <w:b/>
                <w:color w:val="auto"/>
                <w:sz w:val="24"/>
                <w:highlight w:val="none"/>
              </w:rPr>
              <w:t>单位</w:t>
            </w:r>
          </w:p>
        </w:tc>
      </w:tr>
      <w:tr w14:paraId="2DD68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049D93E8">
            <w:pPr>
              <w:widowControl/>
              <w:jc w:val="center"/>
              <w:rPr>
                <w:rFonts w:ascii="宋体" w:hAnsi="宋体" w:cs="Helvetica"/>
                <w:color w:val="auto"/>
                <w:sz w:val="24"/>
                <w:highlight w:val="none"/>
              </w:rPr>
            </w:pPr>
            <w:r>
              <w:rPr>
                <w:rFonts w:hint="eastAsia" w:ascii="宋体" w:hAnsi="宋体" w:cs="Helvetica"/>
                <w:color w:val="auto"/>
                <w:sz w:val="24"/>
                <w:highlight w:val="none"/>
              </w:rPr>
              <w:t xml:space="preserve">1 </w:t>
            </w:r>
          </w:p>
        </w:tc>
        <w:tc>
          <w:tcPr>
            <w:tcW w:w="3402" w:type="dxa"/>
            <w:vAlign w:val="center"/>
          </w:tcPr>
          <w:p w14:paraId="2C3FCF8C">
            <w:pPr>
              <w:jc w:val="center"/>
              <w:rPr>
                <w:rFonts w:ascii="宋体" w:hAnsi="宋体" w:cs="宋体"/>
                <w:color w:val="auto"/>
                <w:sz w:val="24"/>
                <w:highlight w:val="none"/>
              </w:rPr>
            </w:pPr>
            <w:r>
              <w:rPr>
                <w:rFonts w:hint="eastAsia" w:ascii="宋体" w:hAnsi="宋体" w:cs="宋体"/>
                <w:color w:val="auto"/>
                <w:kern w:val="0"/>
                <w:sz w:val="20"/>
                <w:szCs w:val="20"/>
                <w:highlight w:val="none"/>
                <w:lang w:bidi="ar"/>
              </w:rPr>
              <w:t>体视显微镜含图像采集</w:t>
            </w:r>
          </w:p>
        </w:tc>
        <w:tc>
          <w:tcPr>
            <w:tcW w:w="816" w:type="dxa"/>
            <w:vAlign w:val="center"/>
          </w:tcPr>
          <w:p w14:paraId="270A0467">
            <w:pPr>
              <w:jc w:val="center"/>
              <w:rPr>
                <w:rFonts w:ascii="宋体" w:hAnsi="宋体" w:cs="宋体"/>
                <w:color w:val="auto"/>
                <w:sz w:val="24"/>
                <w:highlight w:val="none"/>
              </w:rPr>
            </w:pPr>
            <w:r>
              <w:rPr>
                <w:rFonts w:hint="eastAsia" w:ascii="宋体" w:hAnsi="宋体" w:cs="宋体"/>
                <w:color w:val="auto"/>
                <w:sz w:val="24"/>
                <w:highlight w:val="none"/>
              </w:rPr>
              <w:t>1</w:t>
            </w:r>
          </w:p>
        </w:tc>
        <w:tc>
          <w:tcPr>
            <w:tcW w:w="885" w:type="dxa"/>
            <w:vAlign w:val="center"/>
          </w:tcPr>
          <w:p w14:paraId="4657B564">
            <w:pPr>
              <w:jc w:val="center"/>
              <w:rPr>
                <w:rFonts w:ascii="宋体" w:hAnsi="宋体" w:cs="宋体"/>
                <w:color w:val="auto"/>
                <w:sz w:val="24"/>
                <w:highlight w:val="none"/>
              </w:rPr>
            </w:pPr>
            <w:r>
              <w:rPr>
                <w:rFonts w:hint="eastAsia" w:ascii="宋体" w:hAnsi="宋体" w:cs="宋体"/>
                <w:color w:val="auto"/>
                <w:sz w:val="24"/>
                <w:highlight w:val="none"/>
              </w:rPr>
              <w:t>套</w:t>
            </w:r>
          </w:p>
        </w:tc>
      </w:tr>
    </w:tbl>
    <w:p w14:paraId="1ACE712D">
      <w:pPr>
        <w:spacing w:line="300" w:lineRule="auto"/>
        <w:ind w:firstLine="420" w:firstLineChars="200"/>
        <w:rPr>
          <w:rFonts w:ascii="宋体" w:hAnsi="宋体"/>
          <w:color w:val="auto"/>
          <w:szCs w:val="21"/>
          <w:highlight w:val="none"/>
        </w:rPr>
      </w:pPr>
    </w:p>
    <w:p w14:paraId="7CD89898">
      <w:pPr>
        <w:numPr>
          <w:ilvl w:val="0"/>
          <w:numId w:val="1"/>
        </w:numPr>
        <w:spacing w:line="300" w:lineRule="auto"/>
        <w:ind w:firstLine="480" w:firstLineChars="200"/>
        <w:rPr>
          <w:rFonts w:ascii="宋体" w:hAnsi="宋体"/>
          <w:color w:val="auto"/>
          <w:sz w:val="24"/>
          <w:highlight w:val="none"/>
        </w:rPr>
      </w:pPr>
      <w:r>
        <w:rPr>
          <w:rFonts w:hint="eastAsia" w:ascii="宋体" w:hAnsi="宋体"/>
          <w:color w:val="auto"/>
          <w:sz w:val="24"/>
          <w:highlight w:val="none"/>
        </w:rPr>
        <w:t>货物技术参数及功能指标：</w:t>
      </w:r>
    </w:p>
    <w:tbl>
      <w:tblPr>
        <w:tblStyle w:val="2"/>
        <w:tblW w:w="869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1325"/>
        <w:gridCol w:w="925"/>
        <w:gridCol w:w="5613"/>
      </w:tblGrid>
      <w:tr w14:paraId="0558DA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1C6309D7">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325" w:type="dxa"/>
            <w:vAlign w:val="center"/>
          </w:tcPr>
          <w:p w14:paraId="1E7D3215">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名称</w:t>
            </w:r>
          </w:p>
        </w:tc>
        <w:tc>
          <w:tcPr>
            <w:tcW w:w="925" w:type="dxa"/>
            <w:vAlign w:val="center"/>
          </w:tcPr>
          <w:p w14:paraId="43F71337">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数量</w:t>
            </w:r>
          </w:p>
        </w:tc>
        <w:tc>
          <w:tcPr>
            <w:tcW w:w="5613" w:type="dxa"/>
          </w:tcPr>
          <w:p w14:paraId="78A8F8AC">
            <w:pPr>
              <w:spacing w:line="560" w:lineRule="exact"/>
              <w:jc w:val="center"/>
              <w:rPr>
                <w:rFonts w:ascii="宋体" w:hAnsi="宋体" w:cs="宋体"/>
                <w:color w:val="auto"/>
                <w:sz w:val="24"/>
                <w:highlight w:val="none"/>
              </w:rPr>
            </w:pPr>
            <w:r>
              <w:rPr>
                <w:rFonts w:hint="eastAsia" w:ascii="宋体" w:hAnsi="宋体" w:cs="Helvetica"/>
                <w:bCs/>
                <w:color w:val="auto"/>
                <w:sz w:val="24"/>
                <w:highlight w:val="none"/>
              </w:rPr>
              <w:t>技术参数及功能指标</w:t>
            </w:r>
          </w:p>
        </w:tc>
      </w:tr>
      <w:tr w14:paraId="11D2FE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36" w:type="dxa"/>
            <w:vAlign w:val="center"/>
          </w:tcPr>
          <w:p w14:paraId="3CC5BEB9">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1325" w:type="dxa"/>
            <w:vAlign w:val="center"/>
          </w:tcPr>
          <w:p w14:paraId="09329514">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多参数水质分析仪</w:t>
            </w:r>
          </w:p>
        </w:tc>
        <w:tc>
          <w:tcPr>
            <w:tcW w:w="925" w:type="dxa"/>
            <w:vAlign w:val="center"/>
          </w:tcPr>
          <w:p w14:paraId="748DD9E2">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0ECA71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 适用于海水、地表水、地下水、污水等各种水体监测。</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主机、电缆、探头三体分离，用户可自行更换电缆和探头。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电缆长度≥20米。</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IP67防水等级，电池仓与仪器电路仓各自独立分割并密封，即使电池仓进水也不影响或损坏仪器电路。</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5可以同时测量温度、电导率、比电导、盐度、pH、ORP等参数；可选配氨氮（淡水可选）或硝氮（淡水可选）及氯化物（淡水可选）等水质参数。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主要指标：</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1.1温度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测量范围：-5.00～70.00℃，分辨率：0.1℃，准确度：±0.2℃，测量原理：热敏电阻法；</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1.2电导率</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测量范围：0～200ms/cm，分辨率：0.001～0.1 ms/cm(视量程而定)，准确度：读数的±0.5%或±0.001 mS/cm, 以较大者为准，测量原理：四电极流通式电导测量管法；</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1.3盐度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测量范围：0～70ppt，分辨率：0.01ppt，准确度：读数之±1%或0.1ppt，以较大者为准，测量原理：由电导率和温度计算得出；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1.5溶解氧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测量范围：0～500%或0.00～50.00mg/L；分辨率：0.1%或1%空气饱和度；测量原理：极谱法；</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1.6 PH值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测量范围：0～14，分辨率：0.01，准确度：±0.2，测量原理：玻璃复合电极法。</w:t>
            </w:r>
          </w:p>
        </w:tc>
      </w:tr>
      <w:tr w14:paraId="7754D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666A7EF0">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1325" w:type="dxa"/>
            <w:vAlign w:val="center"/>
          </w:tcPr>
          <w:p w14:paraId="1E94A694">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体视显微镜含图像采集</w:t>
            </w:r>
          </w:p>
        </w:tc>
        <w:tc>
          <w:tcPr>
            <w:tcW w:w="925" w:type="dxa"/>
            <w:vAlign w:val="center"/>
          </w:tcPr>
          <w:p w14:paraId="47C72E6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3F4C909E">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1、高分辨率体视光学成像系统。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2、观察方式：反射光、透射光观察。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▲3、主机：变倍比≥8：1，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4、主机放大倍数：不小于100X，可扩展到250X，配套0.63X和2X物镜。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▲5、目镜：10倍，视场≥23mm，保证大视野观察，双目屈光度可调，目镜装配夹角≥11°。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▲6、反射光照明：提供LED双支光纤照明和LED环形光照明。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7、最大工作距离：不小于121mm。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▲8、多功能LED透射光照明器：透射光角度通过透镜可调，可到不同观察效果，非传统角度不可调方式，可实现明场、暗场、斜照明。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▲9、透射光、反射光照明主机一键切换。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▲10、主机便携式手柄，方便搬运。</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11、成像系统：相机像素≥1200万，芯片尺寸≥1/1.7英寸，像素尺寸≤1.85µm x 1.85µm，A/D转换≥12bit，动态范围4800:1，QE值≥67%，USB3.0接口。</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12、软件功能：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12.1、具有单拍、连拍、定时拍摄等多种图像采集模式；多种图像保存格式；视频采集功能；视频H.264压缩编码。</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12.2、具有白平衡、黑平衡功能；自动曝光功能。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12.3、具有辅助对焦功能。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12.4、图像处理与增强；最大密度投影功能；手动景深合成。</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12.5、具有定标及定标数据管理功能。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12.6、具有比例尺、拍摄日期和时间、拍摄倍率的实时显示；完备的测量功能；多种标注功能；辅助线与智能十字线功能；报告并导出至Word、Excel；自动计数与统计。</w:t>
            </w:r>
          </w:p>
        </w:tc>
      </w:tr>
      <w:tr w14:paraId="0B7B11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0DCC2596">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1325" w:type="dxa"/>
            <w:vAlign w:val="center"/>
          </w:tcPr>
          <w:p w14:paraId="6BCA9154">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体视显微镜</w:t>
            </w:r>
          </w:p>
        </w:tc>
        <w:tc>
          <w:tcPr>
            <w:tcW w:w="925" w:type="dxa"/>
            <w:vAlign w:val="center"/>
          </w:tcPr>
          <w:p w14:paraId="5536394D">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1C412D7F">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1、高分辨率体视光学成像系统。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2、观察方式：反射光、透射光观察。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▲3、主机：变倍比≥8：1，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4、主机放大倍数：不小于50X，可扩展到250X。</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▲5、目镜：10倍，视场≥23mm，保证大视野观察，双目屈光度可调，目镜装配夹角≥11°。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▲6、反射光照明：提供LED双支光纤照明。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▲7、最大工作距离：不小于121mm。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▲8、多功能LED透射光照明器：透射光角度通过透镜可调，可到不同观察效果，非传统角度不可调方式，可实现明场、暗场、斜照明。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▲9、透射光、反射光照明主机一键切换。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▲10、主机便携式手柄，方便搬运。</w:t>
            </w:r>
          </w:p>
        </w:tc>
      </w:tr>
      <w:tr w14:paraId="28C6AA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0B5CC203">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1325" w:type="dxa"/>
            <w:vAlign w:val="center"/>
          </w:tcPr>
          <w:p w14:paraId="008BAFA1">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体视显微镜</w:t>
            </w:r>
          </w:p>
        </w:tc>
        <w:tc>
          <w:tcPr>
            <w:tcW w:w="925" w:type="dxa"/>
            <w:vAlign w:val="center"/>
          </w:tcPr>
          <w:p w14:paraId="09DD725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vAlign w:val="center"/>
          </w:tcPr>
          <w:p w14:paraId="0F78CFC0">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1、高分辨率体视光学成像系统。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▲2、观察方式：反射光、透射光观察。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3、主机：变倍比≥5.5：1，最高分辨率可达489 Lp / 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4、主机放大倍数：不小于7.2-40X，可扩展到200X。</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▲5、目镜：10倍，视场≥23mm，保证大视野观察，双目屈光度可调。</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▲6、反射光照明：提供LED双支光纤照明、主机集成LED近垂直光照明。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7、最大工作距离：不小于180mm。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▲8、LED透射光照明器：透射光角度通过透镜可调，可到不同观察效果，非传统角度不可调方式，可实现明场、暗场、斜照明。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▲9、透射光、反射光照明主机一键切换。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▲10、主机便携式手柄，方便搬运。</w:t>
            </w:r>
          </w:p>
        </w:tc>
      </w:tr>
      <w:tr w14:paraId="3822D8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688F1164">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1325" w:type="dxa"/>
            <w:vAlign w:val="center"/>
          </w:tcPr>
          <w:p w14:paraId="539B1DA7">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倒置荧光显微镜</w:t>
            </w:r>
          </w:p>
        </w:tc>
        <w:tc>
          <w:tcPr>
            <w:tcW w:w="925" w:type="dxa"/>
            <w:vAlign w:val="center"/>
          </w:tcPr>
          <w:p w14:paraId="00CD7C9E">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663270EB">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 xml:space="preserve">1.光学系统：模块化无限远光学系统。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2.观察筒：铰链式双目，瞳距调节范围53mm-75mm。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3.目镜：大视野平场目镜，高眼点，可调屈光度，视场数22。</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4.物镜：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平场消色差物镜 4×</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长工作距离平场相衬物镜10×PH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长工作距离平场相衬物镜20×PH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长工作距离平场相衬物镜40×PH</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长工作距离半复消色差荧光物镜 Plan Fluor 20X/ 0.45   WD:5.9mm；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长工作距离半复消色差荧光物镜 Plan Fluor 40X/0.65    WD:1.6mm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5.调焦机构：粗微调同轴，配有限位装置和锁紧装置，低手位同轴调焦手轮， 微调手轮格值2μm，调焦行程11mm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6.转换器：五孔内定位转换器，滚珠轴承内定位，有防霉装置。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7.载物台：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（1）固定载物台尺寸：227mm×208mm；机械式移动，移动范围：135mm×77mm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（2）圆形透明载物台板：外圈φ118mm，内圈φ68mm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（3）培养皿托板内槽尺寸：86mm×129. 5mm，可适配圆形培养皿Ф90mm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（4）配备万用样品夹：外尺寸128mm×86mm：内槽规格:82mmX56mm，77mmX33mm，77mmX26mm，也可适配φ35mm、φ50mm、φ60mm、φ68mm培养皿</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（5）翻转板（选配）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8.聚光镜：推拉板式相衬聚光镜，工作距离：55mm，数值孔径0.42</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9.明场照明系统：超长寿命9W LED光源，寿命2万小时以上，亮度可调</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荧光照明系统：LED冷光源，亮度连续可调。可根据客户要求定制激发块数量和波段，荧光光源，长效光源，寿命1w小时以上，响应时间，纳秒级别，安全环保,荧光光源与激发块一键联动；无需改变原有光路，可升级成四色荧光显微镜。带数显模式，显示当前通道以及亮度值并有记忆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标配三组激发块，其他种类可选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激发块： 激发光波长</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紫外(UV) EX:375/28nm；DM:415nm；EM:460/50nm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蓝色(B) EX:470/40nm；DM:505nm；EM:535/40nm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绿色(G) EX:530/40nm；DM:565nm；EM:605/55nm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▲相机接口：内置0.75倍C型接口，既保证拍照的大视野；位于机身左下方，而非目镜前方，避免操作时被相机挡住载物台视野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相机技术参数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1.进口大尺寸传感器（Sensor Type)：1英寸大尺寸芯片。</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2.分辨率（Resolution)：5480x 3648，2000万真实物理像素。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3.像素（Pixel Size）：2.4μm x 2.4μm，曝光控制（Exposure Control）：44微秒到60 秒。</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4.最高帧频率（Frame Rate）:22fps@5480x 3648。信噪比37db,动态范围71db，光谱响应390nm-650nm。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5.数据接口：USB3.0高速 5GB/S，逐行扫描，连续输出，软触发，电子卷帘快门；SDK二次开发，强大兼容能力。</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6.支持TWAIN和DirectShow接口，优异的多相机性能，支持单 PC 上 4 相机全速工作。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7.配套软件参数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8.本软件整合了图像处理软件动态图像采集处理以及静态图像处理的主要功能，并且在荧光合成和处理，动态图像测量，色彩校正方面具备强大的可操作性。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9.软件包含用户管理、权限分配及审计追踪功能，完全符合GMP和ISO9001质量管理体系使用要求。</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10.本软件系统可以多种格式，多种时长方案对动态图像进行即时拍摄，定时拍照，实时拍照和录像，完美兼容MSHOT相机，并可通过Directshow接口兼容其他相机，多重拍摄。</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11.▲实时大图拼接以及实时景深叠加功能，支持叠加偏移校正；</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12.▲多图比对功能，样品同一视野可以同屏多图比对，并有标注功能，清晰比对同一位点的图像细节；</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13.软件参数保存记忆功能，适配不同显微镜和样品，生物、医学以及工业等，软件参数一键匹配；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14.大功率荧光光源控制，不同通道点亮以及关闭，亮度调节，亮度记忆；</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15.电动荧光模块控制，不同荧光通道选择以及亮度调节，亮度记忆，多通道荧光图像自动合成；</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16.电动平台控制，X/Y轴行程/速度控制，Z轴对焦步距以及自动对焦控制功能；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功能模块包括图像处理、颜色控制、荧光处理（实时荧光合成）、直方图、图像设置、静态图像处理、测量八个功能模块可对静态动态图像进行参数设置，测量绘制，可支持多方面图像处理。在色彩校正等方面也可进行调节，提高了颜色校正的可靠性、还原准确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18.支持能量曲线测量（实时显示所选定线段上所有点强度）。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19.实时单点RGB值以及灰度值获取，实时预览帧率显示，直方图均衡化。</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20.反射率测量 （选配）。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21.软件打开后自动识别摄像头并打开，同时保存记忆上次软件关闭前的配置参数，大大提高软件的效率和易操作性。</w:t>
            </w:r>
          </w:p>
        </w:tc>
      </w:tr>
      <w:tr w14:paraId="1C16E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BC7CA4F">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1325" w:type="dxa"/>
            <w:vAlign w:val="center"/>
          </w:tcPr>
          <w:p w14:paraId="2AA91324">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微单照相机</w:t>
            </w:r>
          </w:p>
        </w:tc>
        <w:tc>
          <w:tcPr>
            <w:tcW w:w="925" w:type="dxa"/>
            <w:vAlign w:val="center"/>
          </w:tcPr>
          <w:p w14:paraId="335008C5">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206D4C5A">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1、有效像素：4500万以上</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2、传感器类型：CMOS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3、传感器尺寸：全画幅</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4、支持8K UHD和4K UHD视频录制，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5、焦点数量：493</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6、存储介质：CFexpress存储卡 XQD卡 SD卡 SDHC卡 SDXC卡</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7、液晶屏尺寸：3.2英寸</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8、镜头卡口:Z卡口</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9、带Z口微距镜头 105mm，Z口14-24mm全画幅镜头，Z口24-70mm全画幅镜头</w:t>
            </w:r>
          </w:p>
        </w:tc>
      </w:tr>
      <w:tr w14:paraId="54E7EB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3618B251">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1325" w:type="dxa"/>
            <w:vAlign w:val="center"/>
          </w:tcPr>
          <w:p w14:paraId="6C7D8E03">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GPS定位器</w:t>
            </w:r>
          </w:p>
        </w:tc>
        <w:tc>
          <w:tcPr>
            <w:tcW w:w="925" w:type="dxa"/>
            <w:vAlign w:val="center"/>
          </w:tcPr>
          <w:p w14:paraId="27BDF8F6">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vAlign w:val="center"/>
          </w:tcPr>
          <w:p w14:paraId="3E04B030">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1、尺寸6.4x10.5×3.1 cm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2、屏幕2.2”单色屏幕240×320像素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3、重量141克</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4、传输/充电USB-C</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5、续航，内置锂电池电池，²GPS模式：约200小时，探险模式：约1800小时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6、卫星系统多星系统(含北斗)</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7、多频多星定位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8、面积测量航迹、规则地、等宽、坡度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9、数据记、fit格式50条/.gpx格式10条航迹：.gpx格式10条活动：.fit格式200个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10、电子罗盘</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11、无线连接BLUETOOTH</w:t>
            </w:r>
          </w:p>
        </w:tc>
      </w:tr>
      <w:tr w14:paraId="79A094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60411FC0">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1325" w:type="dxa"/>
            <w:vAlign w:val="center"/>
          </w:tcPr>
          <w:p w14:paraId="3D6BFBB1">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箱式采泥器</w:t>
            </w:r>
          </w:p>
        </w:tc>
        <w:tc>
          <w:tcPr>
            <w:tcW w:w="925" w:type="dxa"/>
            <w:vAlign w:val="center"/>
          </w:tcPr>
          <w:p w14:paraId="72A3813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5A081CF">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1、材质：316不锈钢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2、采样面积:0.05m2</w:t>
            </w:r>
          </w:p>
        </w:tc>
      </w:tr>
      <w:tr w14:paraId="0DBC04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06CE197">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1325" w:type="dxa"/>
            <w:vAlign w:val="center"/>
          </w:tcPr>
          <w:p w14:paraId="0C172C9C">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抓斗采泥器</w:t>
            </w:r>
          </w:p>
        </w:tc>
        <w:tc>
          <w:tcPr>
            <w:tcW w:w="925" w:type="dxa"/>
            <w:vAlign w:val="center"/>
          </w:tcPr>
          <w:p w14:paraId="70170C7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3F4679D0">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1、材质：316不锈钢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2、采样面积:0.05m2</w:t>
            </w:r>
          </w:p>
        </w:tc>
      </w:tr>
      <w:tr w14:paraId="3EEE30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00F7C248">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1325" w:type="dxa"/>
            <w:vAlign w:val="center"/>
          </w:tcPr>
          <w:p w14:paraId="3BE4F888">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抓斗采泥器</w:t>
            </w:r>
          </w:p>
        </w:tc>
        <w:tc>
          <w:tcPr>
            <w:tcW w:w="925" w:type="dxa"/>
            <w:vAlign w:val="center"/>
          </w:tcPr>
          <w:p w14:paraId="5A1F51F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7E98973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1、材质：316不锈钢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2、采样面积:0.025m2</w:t>
            </w:r>
          </w:p>
        </w:tc>
      </w:tr>
      <w:tr w14:paraId="39AFA6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2C409BB">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1325" w:type="dxa"/>
            <w:vAlign w:val="center"/>
          </w:tcPr>
          <w:p w14:paraId="45B61FC1">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套筛</w:t>
            </w:r>
          </w:p>
        </w:tc>
        <w:tc>
          <w:tcPr>
            <w:tcW w:w="925" w:type="dxa"/>
            <w:vAlign w:val="center"/>
          </w:tcPr>
          <w:p w14:paraId="76ECFA4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vAlign w:val="center"/>
          </w:tcPr>
          <w:p w14:paraId="7C49E3A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1、材质：304不锈钢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2、上层筛的孔径为：1.0mm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3、下层筛的孔径为：0.5mm</w:t>
            </w:r>
          </w:p>
        </w:tc>
      </w:tr>
      <w:tr w14:paraId="6E922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2816071">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1325" w:type="dxa"/>
            <w:vAlign w:val="center"/>
          </w:tcPr>
          <w:p w14:paraId="585D993B">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沉积物涡旋器</w:t>
            </w:r>
          </w:p>
        </w:tc>
        <w:tc>
          <w:tcPr>
            <w:tcW w:w="925" w:type="dxa"/>
            <w:vAlign w:val="center"/>
          </w:tcPr>
          <w:p w14:paraId="19CC3F88">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4BAE08BE">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1、材质：316不锈钢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2、直径：700mm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3、高度：800mm</w:t>
            </w:r>
          </w:p>
        </w:tc>
      </w:tr>
      <w:tr w14:paraId="6BBDCA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78EF18B7">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1325" w:type="dxa"/>
            <w:vAlign w:val="center"/>
          </w:tcPr>
          <w:p w14:paraId="079420CA">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阿式拖网</w:t>
            </w:r>
          </w:p>
        </w:tc>
        <w:tc>
          <w:tcPr>
            <w:tcW w:w="925" w:type="dxa"/>
            <w:vAlign w:val="center"/>
          </w:tcPr>
          <w:p w14:paraId="58BAA60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B80EAD6">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1、材质：304不锈钢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2、阿氏网：不锈钢架长 150cm，宽 50cm，高 60cm，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3、网衣网口开端2cm，末端0.7cm</w:t>
            </w:r>
          </w:p>
        </w:tc>
      </w:tr>
      <w:tr w14:paraId="6977E7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6B093B95">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1325" w:type="dxa"/>
            <w:vAlign w:val="center"/>
          </w:tcPr>
          <w:p w14:paraId="5C3FAF40">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过滤装置</w:t>
            </w:r>
          </w:p>
        </w:tc>
        <w:tc>
          <w:tcPr>
            <w:tcW w:w="925" w:type="dxa"/>
            <w:vAlign w:val="center"/>
          </w:tcPr>
          <w:p w14:paraId="1233084A">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tcPr>
          <w:p w14:paraId="4AD1B0C9">
            <w:pPr>
              <w:widowControl/>
              <w:jc w:val="left"/>
              <w:textAlignment w:val="top"/>
              <w:rPr>
                <w:rFonts w:ascii="宋体" w:hAnsi="宋体" w:cs="宋体"/>
                <w:color w:val="auto"/>
                <w:sz w:val="24"/>
                <w:highlight w:val="none"/>
              </w:rPr>
            </w:pPr>
            <w:r>
              <w:rPr>
                <w:rFonts w:hint="eastAsia" w:ascii="宋体" w:hAnsi="宋体" w:cs="宋体"/>
                <w:color w:val="auto"/>
                <w:kern w:val="0"/>
                <w:sz w:val="20"/>
                <w:szCs w:val="20"/>
                <w:highlight w:val="none"/>
                <w:lang w:bidi="ar"/>
              </w:rPr>
              <w:t>1、双泵头负压型&gt;0.095Mpa 50mbar</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2、抽气速率:30L/min</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3、进出气口(mm): 6消音器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4、泵头:2</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5、带截留瓶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6、过滤器材料:聚苯砜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7、滤膜规格:47mm过滤膜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8、处理量：300ml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9、过滤器可高温高压或紫外方式灭菌</w:t>
            </w:r>
          </w:p>
        </w:tc>
      </w:tr>
      <w:tr w14:paraId="3C506F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3804D368">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1325" w:type="dxa"/>
            <w:vAlign w:val="center"/>
          </w:tcPr>
          <w:p w14:paraId="2C2F0324">
            <w:pPr>
              <w:widowControl/>
              <w:jc w:val="center"/>
              <w:textAlignment w:val="center"/>
              <w:rPr>
                <w:rFonts w:ascii="宋体" w:hAnsi="宋体" w:cs="宋体"/>
                <w:color w:val="auto"/>
                <w:sz w:val="20"/>
                <w:szCs w:val="20"/>
                <w:highlight w:val="none"/>
              </w:rPr>
            </w:pPr>
            <w:r>
              <w:rPr>
                <w:rFonts w:hint="eastAsia" w:ascii="宋体" w:hAnsi="宋体" w:cs="宋体"/>
                <w:color w:val="auto"/>
                <w:kern w:val="0"/>
                <w:sz w:val="20"/>
                <w:szCs w:val="20"/>
                <w:highlight w:val="none"/>
                <w:lang w:bidi="ar"/>
              </w:rPr>
              <w:t>抽滤装置</w:t>
            </w:r>
          </w:p>
        </w:tc>
        <w:tc>
          <w:tcPr>
            <w:tcW w:w="925" w:type="dxa"/>
            <w:vAlign w:val="center"/>
          </w:tcPr>
          <w:p w14:paraId="2298450F">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tcPr>
          <w:p w14:paraId="469E2724">
            <w:pPr>
              <w:widowControl/>
              <w:jc w:val="left"/>
              <w:textAlignment w:val="top"/>
              <w:rPr>
                <w:rFonts w:ascii="宋体" w:hAnsi="宋体" w:cs="宋体"/>
                <w:color w:val="auto"/>
                <w:sz w:val="24"/>
                <w:highlight w:val="none"/>
              </w:rPr>
            </w:pPr>
            <w:r>
              <w:rPr>
                <w:rFonts w:hint="eastAsia" w:ascii="宋体" w:hAnsi="宋体" w:cs="宋体"/>
                <w:color w:val="auto"/>
                <w:kern w:val="0"/>
                <w:sz w:val="20"/>
                <w:szCs w:val="20"/>
                <w:highlight w:val="none"/>
                <w:lang w:bidi="ar"/>
              </w:rPr>
              <w:t>1、双泵头负压型&gt;0.08Mpa 200mbar</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2、抽气速率:20L/min</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3、进出气口(mm): 6消音器，内置消音棉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4、泵头:1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5、处理量：500ml</w:t>
            </w:r>
          </w:p>
        </w:tc>
      </w:tr>
      <w:tr w14:paraId="2F3896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74E50391">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1325" w:type="dxa"/>
            <w:vAlign w:val="center"/>
          </w:tcPr>
          <w:p w14:paraId="10C6B688">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多通道电化学分析仪</w:t>
            </w:r>
          </w:p>
        </w:tc>
        <w:tc>
          <w:tcPr>
            <w:tcW w:w="925" w:type="dxa"/>
            <w:vAlign w:val="center"/>
          </w:tcPr>
          <w:p w14:paraId="325545C4">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C623930">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1、八通道恒电位仪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2、独立电解池或八工作电极在同溶液中</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3、电位范围：±10V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4、电位控制精度：&lt;1 mV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5、电位控制噪声：&lt;0.01 mV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6、槽压：±12V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7、电流范围(每个通道)：10mA</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8、参比电极输入阻抗：1*1012 ohm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9、灵敏度量程：1*10-9 - 0.001A/V共七档</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10、输入偏置电流：&lt;20 pA</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11、电流测量分辨率：&lt;1 pA</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12、最高数据采集速率：1MHz@16位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13、CV和LSV扫描速度：0.000001 to 5000V/s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14、CA和CC脉冲宽度：0.0001 to 1000s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15、CA和CC阶跃次数：320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16、DPV和NPV脉冲宽度：0.001 to 10s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17、SWV频率：1 to 100000Hz</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18、电流测量低通滤波器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19、电位电流的模拟输出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20、电解池控制输出：通氮，搅拌，敲击</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21、最大数据长度(每个通道)：256k-16384k可选</w:t>
            </w:r>
          </w:p>
        </w:tc>
      </w:tr>
      <w:tr w14:paraId="4C0F67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8FCBD1D">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1325" w:type="dxa"/>
            <w:vAlign w:val="center"/>
          </w:tcPr>
          <w:p w14:paraId="02EFC832">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智能厌氧制备仪</w:t>
            </w:r>
          </w:p>
        </w:tc>
        <w:tc>
          <w:tcPr>
            <w:tcW w:w="925" w:type="dxa"/>
            <w:vAlign w:val="center"/>
          </w:tcPr>
          <w:p w14:paraId="43DFE4A8">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7F53C73D">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可根据实验需求设定氧气，氮气或者其他客户自定义气体的混合比例。可以8通道同时高通量快速置换气体，也可以单通道自动或手动气体置换；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设备适应性广，不仅可以与厌氧瓶，顶空瓶对接，也可以和厌氧罐及其配套的固体培养皿对接，还可以兼顾某些有特殊需求的用户，软件可以编程，应用搭配灵活多变；</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▲10英寸彩色高分触摸屏，制备进程一目了然，操作方便简单。系统压力时显示，双重压力保护（机械限压与电子限压报警）安全可靠。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用户可根据试验自由设定进气方式，设备仅仅在样品制备时才有气体消耗，总体耗气量低，无需预热等待，无需气体平衡等待.</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▲开放式编程系统，多点位输入及输出，至少包括氮气曝气、氮气保护、负压抽滤、设备各组件的功能自建等。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▲样品工位: 8工位;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处理体积: 10mL-1000mL;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接口方式:鲁尔快速接头;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气路接口:管道锁定式 4路;</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输入输出: 24路输入输出;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模拟控制: 2路模拟量输入；</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照明系统 :24V，长条形冷光LED照明；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 压力显示:电子压力实时显示（-0.100 至0.100 Mpa）;</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 信号传输:USB，RS-232(内设气体压力及时间报警）;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 .显示方式:10.1’’ TFT彩色触控屏，1024*600分辨率;</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 工作电压:AC220V±10% ，单项 50/60 Hz(10A);</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 .设备体积:730W× 340H × 508D 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 设备重量: 35kg;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 工作气压:10-30 PSI;</w:t>
            </w:r>
          </w:p>
        </w:tc>
      </w:tr>
      <w:tr w14:paraId="08BA03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060521FC">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18</w:t>
            </w:r>
          </w:p>
        </w:tc>
        <w:tc>
          <w:tcPr>
            <w:tcW w:w="1325" w:type="dxa"/>
            <w:vAlign w:val="center"/>
          </w:tcPr>
          <w:p w14:paraId="0DF5812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高压灭菌器</w:t>
            </w:r>
          </w:p>
        </w:tc>
        <w:tc>
          <w:tcPr>
            <w:tcW w:w="925" w:type="dxa"/>
            <w:vAlign w:val="center"/>
          </w:tcPr>
          <w:p w14:paraId="1E67E53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12D17674">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1、灭菌器厂家须具有特种设备（压力容器）制造许可证（投标商须提供生产厂家的制造许可证，加盖投标人公章，不允许借用第三方资质）；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2、容量:50-60升,立式结构,底部带脚轮，腔体直径≥40CM 可放入直径38CM,高度40CM的灭菌架;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▲3、压力容器设计温度≥153度、容器设计压力：0.42MPa （投标商须提供生产厂家压力容器铭牌样本复印件，加盖投标人公章）；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4、灭菌工作温度105-138度；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▲5、压力容器设计使用年限20年（投标商须提供生产厂家同型号压力容器数据表样本，加盖投标人公章）；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干烧保护装置：灭菌腔底同时配备液胀式、铜质温度感应式、离子浓度式（水位传感器）三种不同干烧保护装置，避免了单一方式带来的误判；同时离子浓度式水位传感器为双水位传感器，即防止干烧又可用于自动进水之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7、开关盖方式：触拨式开关，垂直向上打开腔门（上掀式开盖）下压式关盖，单手可实现开关盖；</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▲8、快速开门结构：采用快速开门结构，3秒内就可完成从打开腔门到腔门完全敞开整个过程；</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9、腔门完全敞开及任意停留性能：腔门完全打开与灭菌腔达到90度角，大件样品可垂直从腔内取出；且腔盖可以在任意角度停留，防止腔盖突然砸下风险。</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▲11、人性化操作台面结构：地面到操作台面的高度不超过90cm；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▲12、水质检测：具有水质检测功能，当灭菌腔水质脏污时可以进行提醒；</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13、定时：灭菌时间1-6000分钟，保温时间1-9999分钟 ， 预约灭菌时间0-10天；</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14、六级排汽方式:灭菌结束可设定6种不同的排汽速度，通过控制电磁阀的开关，液体培养基灭菌结束排气降温而培养基不会溢出来；</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15、空气进气过滤器：可把外部气体过滤为洁净气体进入腔内；</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16、标配冷却风扇:灭菌结束可快速降低腔体温度；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17、水位显示：待机状态下显示屏幕水位指示灯可显示灭菌腔是否缺水；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18、可选配自动进水：可接外部去离子水管道，当灭菌腔缺水时，外部洁净水源可向灭菌腔补水；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19、可选自动干燥：干燥温度可设置为80-160度，干燥时间1-300分钟，灭菌结束，自动启动干燥，腔内蒸气排往腔外，外部空气经过滤后由空气泵向灭菌腔补气；</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20、压力保护装置：具有安全阀和压力开关两种以上压力保护装置；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21、闭盖检查：系统自动检查腔盖锁紧情况，如腔盖未锁紧，灭菌器无法启动工作。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22、安全装置：八柱均分、闭盖检查系统、电动式双内锁、冷却锁OPEN温度、缺水保护、过压双重保护、自动故障检测系统、后台安全测试程序、温度监控 、漏电保护、过流与短路保护；</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23、附件:不锈钢提篮2个,冷却风扇1套；</w:t>
            </w:r>
          </w:p>
        </w:tc>
      </w:tr>
      <w:tr w14:paraId="06E4E2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6319AB2B">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19</w:t>
            </w:r>
          </w:p>
        </w:tc>
        <w:tc>
          <w:tcPr>
            <w:tcW w:w="1325" w:type="dxa"/>
            <w:vAlign w:val="center"/>
          </w:tcPr>
          <w:p w14:paraId="6AC8832F">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基因扩增仪</w:t>
            </w:r>
          </w:p>
        </w:tc>
        <w:tc>
          <w:tcPr>
            <w:tcW w:w="925" w:type="dxa"/>
            <w:vAlign w:val="center"/>
          </w:tcPr>
          <w:p w14:paraId="295D97DD">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697C172">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1、模块规格：0.2ml*96，铝合金模块、原位或平板模块</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2、温度准确度： ≦±0.1℃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3、模块控温精度 ：≦±0.1℃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4、模块温度均匀性： ≦±0.3℃ @55℃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5、最大升温速率 ：≥5℃/s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6、最大降温速率：≥5℃/s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7.模块温度控制模式：Tube（试剂ul设置）/ Block</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8、模块温度设置范围 ：0-105℃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9、热盖温度设置范围：30-110℃，ON/OFF（热盖可开启和关闭）</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▲10、智能热盖设置功能 ：有，可选根据程序自动设定热盖温度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11、温度梯度功能/范围/跨度：12列梯度/30-99℃/1-42℃，只需设置最左、最右列温度，其他列温度自动计算赋予</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12、升降温速率设定：有，0.1-3.5℃/s,等速率变温</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13、USB接口：有，用户文件一键导入/导出，台间程序交换便捷；U盘软件升级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14、显示屏：7〞WVGA 64000色，LED 背光，高灵敏电阻触摸屏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▲15、智能抑制非特异性扩增功能：有，程序运行等待热盖恒温过程中模块10℃恒温（出示仪器运行界面截图证明材料）</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▲16、智能试剂温度控制：有，根据设定的反应体系容量进行精准控温</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 17、压盖自适应试管：试管高度自适应（高管、矮管、平顶管、圆顶管等全适应）</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▲18、梯度温度同时到达：有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▲19、开机智能自检：有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▲20、制冷片寿命预警功能 ：有，根据仪器使用工况对Peltier器件寿命和产品维护进行评估，工作时有呼吸灯（仪器功能安装时展示或者彩页等证明材料）</w:t>
            </w:r>
          </w:p>
        </w:tc>
      </w:tr>
      <w:tr w14:paraId="683525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15DE52CE">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20</w:t>
            </w:r>
          </w:p>
        </w:tc>
        <w:tc>
          <w:tcPr>
            <w:tcW w:w="1325" w:type="dxa"/>
            <w:vAlign w:val="center"/>
          </w:tcPr>
          <w:p w14:paraId="0D1B6B60">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分析天平</w:t>
            </w:r>
          </w:p>
        </w:tc>
        <w:tc>
          <w:tcPr>
            <w:tcW w:w="925" w:type="dxa"/>
            <w:vAlign w:val="center"/>
          </w:tcPr>
          <w:p w14:paraId="6FF300BD">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shd w:val="clear" w:color="auto" w:fill="FFFFFF" w:themeFill="background1"/>
            <w:vAlign w:val="center"/>
          </w:tcPr>
          <w:p w14:paraId="58703BB5">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最大称量值：≥120g</w:t>
            </w:r>
          </w:p>
          <w:p w14:paraId="64AF8211">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可读性≤0.1mg</w:t>
            </w:r>
          </w:p>
          <w:p w14:paraId="3C1DB4EC">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重复性≤0.1mg</w:t>
            </w:r>
          </w:p>
          <w:p w14:paraId="5AB2870B">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线性误差≤0.06mg</w:t>
            </w:r>
          </w:p>
          <w:p w14:paraId="0DF38B83">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灵敏度偏移（标称加载下）≤0.3mg</w:t>
            </w:r>
          </w:p>
          <w:p w14:paraId="533BE440">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最小称量值（USP，允差 = 0.10%）≤160mg</w:t>
            </w:r>
          </w:p>
          <w:p w14:paraId="3BB045EA">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秤盘外形尺寸≤Ø90</w:t>
            </w:r>
          </w:p>
          <w:p w14:paraId="7476F39A">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天平尺寸（宽*深*高）≤ 209 × 354 × 354 mm1</w:t>
            </w:r>
          </w:p>
          <w:p w14:paraId="126C53BC">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LCD 混合触摸屏，按键清晰，操作简单</w:t>
            </w:r>
          </w:p>
          <w:p w14:paraId="60D4FF47">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标配引导式操作，每个称量过程仅需按照屏幕上的操作引导进行操作，方便简单。</w:t>
            </w:r>
          </w:p>
          <w:p w14:paraId="66523888">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标配USB-A 与 RS232 两个接口，即插即用 自动识别外围设备，便于轻松传输数据</w:t>
            </w:r>
          </w:p>
          <w:p w14:paraId="7B4FAF44">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金属底座和具有耐化学及酸碱腐蚀性的PBT外壳材料</w:t>
            </w:r>
          </w:p>
          <w:p w14:paraId="3B03B931">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内置 9 种应用程序，方便快捷调用</w:t>
            </w:r>
          </w:p>
          <w:p w14:paraId="18E45F73">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密码保护可防止未经授权更改，确保所有天平操作员使用相同的设置，并确保过程一致。</w:t>
            </w:r>
          </w:p>
          <w:p w14:paraId="0C2E7FAB">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LCD 混合触摸屏超大的数字清晰的符号和图标，任何光照条件下均可毫不费力的读取数据</w:t>
            </w:r>
          </w:p>
          <w:p w14:paraId="6EE48222">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坚固而持久的电磁力补偿 (EMFC) 称重传感器避免环境的影响和干扰</w:t>
            </w:r>
          </w:p>
          <w:p w14:paraId="4F614956">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外部校正功能</w:t>
            </w:r>
          </w:p>
          <w:p w14:paraId="6247532A">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可选的蓝牙接口 ，只需插入蓝牙模块，即可在天平和打印机之间无线发送数据，实现电子化工作而无需电缆。</w:t>
            </w:r>
          </w:p>
          <w:p w14:paraId="654E53D0">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EasyDirect 天平软件从多达10台天平收集称量数据，最大限度地减少手动转录错误，节省时间并安全地存储数据。轻松查看结果，并按日期、仪器、用户或样品进行筛选。在图表中可视化结果，以评估目标和公差范围，并执行统计信息，以便进行有效的趋势和生产分析。生成简单明了的称量结果报告。以各种格式（XML、CSV、XLSX 或 PDF）将数据导出到电脑或在网络打印机上打印。</w:t>
            </w:r>
          </w:p>
          <w:p w14:paraId="08F23F70">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样品ID功能，可实现ID号递增</w:t>
            </w:r>
          </w:p>
          <w:p w14:paraId="50785C3E">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QuickLock设计，5面玻璃徒手可拆，方便清洁</w:t>
            </w:r>
          </w:p>
          <w:p w14:paraId="347784F9">
            <w:pPr>
              <w:widowControl/>
              <w:numPr>
                <w:ilvl w:val="0"/>
                <w:numId w:val="2"/>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提供两把钥匙的一根坚固的涂层钢丝绳，一端有一个环，另一端有一个带有 T 型杆机构的可拆卸锁的高效组合来保护天平防止盗窃</w:t>
            </w:r>
          </w:p>
        </w:tc>
      </w:tr>
      <w:tr w14:paraId="3D03A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9DDAF83">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21</w:t>
            </w:r>
          </w:p>
        </w:tc>
        <w:tc>
          <w:tcPr>
            <w:tcW w:w="1325" w:type="dxa"/>
            <w:vAlign w:val="center"/>
          </w:tcPr>
          <w:p w14:paraId="28A3169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电子天平</w:t>
            </w:r>
          </w:p>
        </w:tc>
        <w:tc>
          <w:tcPr>
            <w:tcW w:w="925" w:type="dxa"/>
            <w:vAlign w:val="center"/>
          </w:tcPr>
          <w:p w14:paraId="13A6B58A">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shd w:val="clear" w:color="auto" w:fill="FFFFFF" w:themeFill="background1"/>
            <w:vAlign w:val="center"/>
          </w:tcPr>
          <w:p w14:paraId="7D8F2D52">
            <w:pPr>
              <w:widowControl/>
              <w:numPr>
                <w:ilvl w:val="0"/>
                <w:numId w:val="3"/>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最大秤量：≥620 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可读性：≤0.01 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最小称量值 (U=1%, k=2)，典型：≤1.4 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接口：RS232、USB-A、蓝牙（可选）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重复性（典型）：≤7 mg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稳定时间：≤1 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最小称量值（符合USP，允差为0.1%，典型）：≤14 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显示屏：LCD混合触摸屏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密码保护：是</w:t>
            </w:r>
          </w:p>
          <w:p w14:paraId="78CA99D9">
            <w:pPr>
              <w:widowControl/>
              <w:numPr>
                <w:ilvl w:val="0"/>
                <w:numId w:val="4"/>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内置 10种应用程序，如称重、计件、密度、检重、动态称重、统计、总计和配方，每个步骤都有屏幕指导和自动计算，便于操作。</w:t>
            </w:r>
          </w:p>
          <w:p w14:paraId="0F7D0BCD">
            <w:pPr>
              <w:widowControl/>
              <w:numPr>
                <w:ilvl w:val="0"/>
                <w:numId w:val="4"/>
              </w:numPr>
              <w:jc w:val="left"/>
              <w:textAlignment w:val="center"/>
              <w:rPr>
                <w:rFonts w:ascii="宋体" w:hAnsi="宋体" w:cs="宋体"/>
                <w:color w:val="auto"/>
                <w:kern w:val="0"/>
                <w:sz w:val="20"/>
                <w:szCs w:val="20"/>
                <w:highlight w:val="none"/>
                <w:lang w:bidi="ar"/>
              </w:rPr>
            </w:pPr>
            <w:r>
              <w:rPr>
                <w:rFonts w:ascii="宋体" w:hAnsi="宋体" w:cs="宋体"/>
                <w:color w:val="auto"/>
                <w:kern w:val="0"/>
                <w:sz w:val="20"/>
                <w:szCs w:val="20"/>
                <w:highlight w:val="none"/>
                <w:lang w:bidi="ar"/>
              </w:rPr>
              <w:t>坚固而持久的电磁力补偿 (EMFC) 称重传感器避免环境的影响和干扰</w:t>
            </w:r>
            <w:r>
              <w:rPr>
                <w:rFonts w:hint="eastAsia" w:ascii="宋体" w:hAnsi="宋体" w:cs="宋体"/>
                <w:color w:val="auto"/>
                <w:kern w:val="0"/>
                <w:sz w:val="20"/>
                <w:szCs w:val="20"/>
                <w:highlight w:val="none"/>
                <w:lang w:bidi="ar"/>
              </w:rPr>
              <w:t>。</w:t>
            </w:r>
          </w:p>
          <w:p w14:paraId="4B3A7596">
            <w:pPr>
              <w:widowControl/>
              <w:numPr>
                <w:ilvl w:val="0"/>
                <w:numId w:val="4"/>
              </w:numPr>
              <w:jc w:val="left"/>
              <w:textAlignment w:val="center"/>
              <w:rPr>
                <w:rFonts w:ascii="宋体" w:hAnsi="宋体" w:cs="宋体"/>
                <w:color w:val="auto"/>
                <w:kern w:val="0"/>
                <w:sz w:val="20"/>
                <w:szCs w:val="20"/>
                <w:highlight w:val="none"/>
                <w:lang w:bidi="ar"/>
              </w:rPr>
            </w:pPr>
            <w:r>
              <w:rPr>
                <w:rFonts w:ascii="宋体" w:hAnsi="宋体" w:cs="宋体"/>
                <w:color w:val="auto"/>
                <w:kern w:val="0"/>
                <w:sz w:val="20"/>
                <w:szCs w:val="20"/>
                <w:highlight w:val="none"/>
                <w:lang w:bidi="ar"/>
              </w:rPr>
              <w:t>EasyDirect 天平软件从多达10台天平收集称量数据，最大限度地减少手动转录错误，节省时间并安全地存储数据。轻松查看结果，并按日期、仪器、用户或样品进行筛选。在图表中可视化结果，以评估目标和公差范围，并执行统计信息，以便进行有效的趋势和生产分析。生成简单明了的称量结果报告。以各种格式（XML、CSV、XLSX 或 PDF）将数据导出到电脑或在网络打印机上打印。</w:t>
            </w:r>
          </w:p>
          <w:p w14:paraId="1CBDEB96">
            <w:pPr>
              <w:widowControl/>
              <w:numPr>
                <w:ilvl w:val="0"/>
                <w:numId w:val="4"/>
              </w:numPr>
              <w:jc w:val="left"/>
              <w:textAlignment w:val="center"/>
              <w:rPr>
                <w:rFonts w:ascii="宋体" w:hAnsi="宋体" w:cs="宋体"/>
                <w:color w:val="auto"/>
                <w:kern w:val="0"/>
                <w:sz w:val="20"/>
                <w:szCs w:val="20"/>
                <w:highlight w:val="none"/>
                <w:lang w:bidi="ar"/>
              </w:rPr>
            </w:pPr>
            <w:r>
              <w:rPr>
                <w:rFonts w:ascii="宋体" w:hAnsi="宋体" w:cs="宋体"/>
                <w:color w:val="auto"/>
                <w:kern w:val="0"/>
                <w:sz w:val="20"/>
                <w:szCs w:val="20"/>
                <w:highlight w:val="none"/>
                <w:lang w:bidi="ar"/>
              </w:rPr>
              <w:t>标配引导式操作，每个称量过程仅需按照屏幕上的操作引导进行操作，方便简单。自动执行计算，打印结果或将结果传输到存储设备</w:t>
            </w:r>
            <w:r>
              <w:rPr>
                <w:rFonts w:hint="eastAsia" w:ascii="宋体" w:hAnsi="宋体" w:cs="宋体"/>
                <w:color w:val="auto"/>
                <w:kern w:val="0"/>
                <w:sz w:val="20"/>
                <w:szCs w:val="20"/>
                <w:highlight w:val="none"/>
                <w:lang w:bidi="ar"/>
              </w:rPr>
              <w:t>。</w:t>
            </w:r>
          </w:p>
        </w:tc>
      </w:tr>
      <w:tr w14:paraId="13EDDB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07CA723">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22</w:t>
            </w:r>
          </w:p>
        </w:tc>
        <w:tc>
          <w:tcPr>
            <w:tcW w:w="1325" w:type="dxa"/>
            <w:vAlign w:val="center"/>
          </w:tcPr>
          <w:p w14:paraId="5924DA7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微量高速冷冻离心机</w:t>
            </w:r>
          </w:p>
        </w:tc>
        <w:tc>
          <w:tcPr>
            <w:tcW w:w="925" w:type="dxa"/>
            <w:vAlign w:val="center"/>
          </w:tcPr>
          <w:p w14:paraId="75DE88AE">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752E7FE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电机锁吸附设计，单手即可关闭离心机腔门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静态制冷，离心机盖门关闭状态下，只要设定温度低于环境温度，压缩机即自动启动制冷</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离心完毕后，声音提示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温度设定范围-20℃至40℃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离心舱内从室温降至4℃仅需7分钟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可根据实验需求存储9个程序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三层密封转子，为生物安全提高保障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高强度铝合金转子，可整体耐受121℃高温高压消毒</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动平衡检测，转子不平衡有提示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9档升降加速度可选，可缓刹平稳降速以获得更好的分离效果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外置冷凝水槽防止冷凝水聚集在离心腔内</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转速范围： 15000rpm(200-15000rpm)步进量：100rpm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 最大相对离心力： 21380xg,进步：10xg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 转速精度： ±20rpm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 运行时间： 30s-99 min;HOLD(连续运行)</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 升降速时间： 25s↑25s↓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 温度设定范围： -20℃~40℃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 显示： LCD</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 功率：≤500W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 噪音： ≤56dB</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 电机类型： 直流无刷电机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22. 安全性能： 双门锁、超速、过温、状态诊断系统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23. 其他功能： 转速/相对离心力转换功能、点动运行功能、运行进程显示、声音提示功能；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24. 配置：主机+24*1.5ml转子</w:t>
            </w:r>
          </w:p>
        </w:tc>
      </w:tr>
      <w:tr w14:paraId="1F995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70A667D">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23</w:t>
            </w:r>
          </w:p>
        </w:tc>
        <w:tc>
          <w:tcPr>
            <w:tcW w:w="1325" w:type="dxa"/>
            <w:vAlign w:val="center"/>
          </w:tcPr>
          <w:p w14:paraId="550A8A9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高速台式离心机</w:t>
            </w:r>
          </w:p>
        </w:tc>
        <w:tc>
          <w:tcPr>
            <w:tcW w:w="925" w:type="dxa"/>
            <w:vAlign w:val="center"/>
          </w:tcPr>
          <w:p w14:paraId="1073EA7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49F6E41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1.最高转速：16000r/min</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2.最大相对离心力：21532×g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3.最大容量：6×50ml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4.转速精度：±30/min</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5.配置：主机+6*50ml角转子+6*10ml适配器</w:t>
            </w:r>
          </w:p>
        </w:tc>
      </w:tr>
      <w:tr w14:paraId="15561C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8FD8D8C">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24</w:t>
            </w:r>
          </w:p>
        </w:tc>
        <w:tc>
          <w:tcPr>
            <w:tcW w:w="1325" w:type="dxa"/>
            <w:vAlign w:val="center"/>
          </w:tcPr>
          <w:p w14:paraId="122C1B0A">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紫外分光光度计</w:t>
            </w:r>
          </w:p>
        </w:tc>
        <w:tc>
          <w:tcPr>
            <w:tcW w:w="925" w:type="dxa"/>
            <w:vAlign w:val="center"/>
          </w:tcPr>
          <w:p w14:paraId="411606AE">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50B15F5">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1硬件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1.1光学系统：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1.1.1分光器: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单色器:使用高性能闪耀全息光栅，象差校正型切尼尔一特纳装置。衍射光栅刻线数: 1200 lines/mm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1.1.2光源：卤素灯（2000小时寿命）和氘灯，内置光源位置自动调整机构</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1.1.3检测器：硅光电二极管系统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1.1.3测光方式：双光束测光方式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1.2仪器性能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 波长测试范围：190~1100nm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1.2.2波长准确性：±0.1nmD2 656.1nm，±0.3nm全区域"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1.2.3波长重复精度：±0.1nm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1.2.4波长扫描速度：最快波长扫描速度3000nm/min,最快波长移动速度4800nm/min</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1.2.5波长设定：最小单位可达 0.05nm。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1.2.6光源切换波长：可在295-364nm范围内任意设定切换波长（0.1nm单位）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1.2.7谱带宽度： 0.5nm,1nm,2nm,4nm,5nm 五档可调</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1.2.8最高分辨率：0.5nm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1.2.9:杂散光：0.05% 以下    (220nm,Nal 10g/L 溶液与340nm, NaNO3 溶液）</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1.2.10测光范围：吸光度：-3~3Abs，透射率0.0 ~300%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1.2.11测光准确度：±0.002Abs(0~0.5Abs),±0.004Abs(0.5~1.0Abs),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±0.3%T"</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1.2.12重复测光精度：0.001Abs(0~0.5Abs),0.002Abs(0.5~1.0Abs),0.1%T                                                                                                                                      1.2.13基线</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基线平滑度 ：±0.001Abs(1100~190 nm，预热1小时后)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基线校正： 计算机自动校正</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漂移：≤0.0004Abs/30mins (500nm,预热1小时后）"</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1.2.14噪声：0.0008Abs（500nm）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2.1测光类型： 吸光度（Abs），透射率（％），能量（E）</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2.2 测试模式：单波长测试、光谱模式、时间扫描、多波长测试模式、动力学模式、DNA/蛋白质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2.3操作方式：带液晶屏，实现单机操作也可选购软件进行联机操作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2.4 可接打印机打印数据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2.5具有测试数据、谱图储存功能；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2.6标配3个USB口，2个I/O接口便于功能扩展。</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3附件</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3.1 比色皿1个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3.2 保险丝2个</w:t>
            </w:r>
          </w:p>
        </w:tc>
      </w:tr>
      <w:tr w14:paraId="682132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23844285">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25</w:t>
            </w:r>
          </w:p>
        </w:tc>
        <w:tc>
          <w:tcPr>
            <w:tcW w:w="1325" w:type="dxa"/>
            <w:vAlign w:val="center"/>
          </w:tcPr>
          <w:p w14:paraId="23F89D11">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微孔板离心机</w:t>
            </w:r>
          </w:p>
        </w:tc>
        <w:tc>
          <w:tcPr>
            <w:tcW w:w="925" w:type="dxa"/>
            <w:vAlign w:val="center"/>
          </w:tcPr>
          <w:p w14:paraId="13AE6A3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252DC667">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容量:2片96孔PCR</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转速:2500rpm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离心力:500g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转子:垂直固定</w:t>
            </w:r>
          </w:p>
        </w:tc>
      </w:tr>
      <w:tr w14:paraId="2D9C09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C8879B3">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26</w:t>
            </w:r>
          </w:p>
        </w:tc>
        <w:tc>
          <w:tcPr>
            <w:tcW w:w="1325" w:type="dxa"/>
            <w:vAlign w:val="center"/>
          </w:tcPr>
          <w:p w14:paraId="7AB1B558">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旋涡混合仪</w:t>
            </w:r>
          </w:p>
        </w:tc>
        <w:tc>
          <w:tcPr>
            <w:tcW w:w="925" w:type="dxa"/>
            <w:vAlign w:val="center"/>
          </w:tcPr>
          <w:p w14:paraId="0E86F1B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69F315E6">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振动与旋涡混合方式：可调速控制，能从低速振动到高速旋涡混合。可根据需要选择适合的混台方式;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多元功能：碗型振动台与平板型振动的双重提供，可适应不同试管及容器的手动或自动的两种混合方式;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自动与点振混合方式：三点开关可选择自动或点振混合方式;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整体金属外壳</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功率：  40W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转速：  2800转/分</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控制形式：  光控感应</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感应距离：  30cm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工作方式：  连续、点触、调速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工作台：  碗型、平板型可调换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整机重量：  ≥4.8KG</w:t>
            </w:r>
          </w:p>
        </w:tc>
      </w:tr>
      <w:tr w14:paraId="5505C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62156A9">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27</w:t>
            </w:r>
          </w:p>
        </w:tc>
        <w:tc>
          <w:tcPr>
            <w:tcW w:w="1325" w:type="dxa"/>
            <w:vAlign w:val="center"/>
          </w:tcPr>
          <w:p w14:paraId="58066B9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掌上离心机</w:t>
            </w:r>
          </w:p>
        </w:tc>
        <w:tc>
          <w:tcPr>
            <w:tcW w:w="925" w:type="dxa"/>
            <w:vAlign w:val="center"/>
          </w:tcPr>
          <w:p w14:paraId="095B0DD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52E1C71">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卡口设计，轻松安装和更换转头，不需任何工具、方便快捷</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转速：  8000转／分</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离心力：  约3000g</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外形尺寸： ≤155×175×125mm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速度控制：  自动恒速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驱动方式：  直接驱动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标准配置：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1.5/2ml×8微量离心管转头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0.2ml×8×4PCR管转头</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0.5ml×8适配器</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0.2ml×8适配器</w:t>
            </w:r>
          </w:p>
        </w:tc>
      </w:tr>
      <w:tr w14:paraId="3A3B52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595B3387">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28</w:t>
            </w:r>
          </w:p>
        </w:tc>
        <w:tc>
          <w:tcPr>
            <w:tcW w:w="1325" w:type="dxa"/>
            <w:vAlign w:val="center"/>
          </w:tcPr>
          <w:p w14:paraId="1AD49A16">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电泳电源</w:t>
            </w:r>
          </w:p>
        </w:tc>
        <w:tc>
          <w:tcPr>
            <w:tcW w:w="925" w:type="dxa"/>
            <w:vAlign w:val="center"/>
          </w:tcPr>
          <w:p w14:paraId="692801E0">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3EDCDDF2">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输入范围： 110~250V适用于不同国家地区的使用需求</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四组输出： 大电流可同时连接四个电泳槽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输出形式： 恒压、恒流、恒功率连续可调</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4. 输出范围： 5-600V 1-600mA 5-300W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分 辨 率： 电压(1V) 电流(1mA) 功率(1W)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定时范围： 1分钟~99小时59分钟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温度检测： -20℃ ~ +85℃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存储分步： 可编辑保存10个程序，每个程序可分10个步骤运行</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保护功能： 过流、过载、过温、空载、短路负载突变保护功能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微电流： 定时运行结束后无人为关机可保持微电流输出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显示屏： 7寸超大触摸屏，方便的触摸操作，设置时自动生成数字键盘，显示时钟、计时、温度、运行状态及各种提示操作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自动设置： 当恒定电压电流功率中某一个指标，其它两项自动升到最大值，不需人为的调整</w:t>
            </w:r>
          </w:p>
        </w:tc>
      </w:tr>
      <w:tr w14:paraId="7823F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10CB4F5A">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29</w:t>
            </w:r>
          </w:p>
        </w:tc>
        <w:tc>
          <w:tcPr>
            <w:tcW w:w="1325" w:type="dxa"/>
            <w:vAlign w:val="center"/>
          </w:tcPr>
          <w:p w14:paraId="62AFF77A">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水平电泳槽</w:t>
            </w:r>
          </w:p>
        </w:tc>
        <w:tc>
          <w:tcPr>
            <w:tcW w:w="925" w:type="dxa"/>
            <w:vAlign w:val="center"/>
          </w:tcPr>
          <w:p w14:paraId="13B5DD9D">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43037ECA">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聚碳酸酯一次注塑成型，不渗漏；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可做四种不同尺寸凝胶，一次最多可电泳100个样品；</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限位功能，不会使正负电极装反；</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电泳槽上盖限位设计，确保电泳正负极性正确；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透明上盖开孔设计，便于散热观察；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99.99%高纯铂金电极导电性能更佳；</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耐腐蚀老化</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缓冲液容积: 700mL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凝胶规格: 120mm*120mm / 120mm*60mm / 60mm*120mm / 60mm*60mm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样品梳: 2+3齿/6+13齿/8+18齿/11+25齿（可排枪加样）</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标准配置：</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11.1 电泳槽上盖（含导线）: 1 套</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11.2 电泳槽下壳（含电极）: 1 套</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11.3 制胶器: 1 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11.4 大胶托盘（120*120）: 1 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11.5 宽胶托盘（120*60）: 1 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11.6 长胶托盘（60*120）: 1 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11.7 小胶托盘（60*60）: 2 个</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11.8 2.0mm加样梳（2+3齿）: 1 把</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11.9 1.0mm加样梳（6+13齿）: 1 把</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11.10 1.0mm加样梳（8+18齿）: 1 把</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11.11 1.0mm加样梳（11+25齿）: 4 把</w:t>
            </w:r>
          </w:p>
        </w:tc>
      </w:tr>
      <w:tr w14:paraId="676993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shd w:val="clear" w:color="auto" w:fill="FFFFFF" w:themeFill="background1"/>
            <w:vAlign w:val="center"/>
          </w:tcPr>
          <w:p w14:paraId="1617769F">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30</w:t>
            </w:r>
          </w:p>
        </w:tc>
        <w:tc>
          <w:tcPr>
            <w:tcW w:w="1325" w:type="dxa"/>
            <w:shd w:val="clear" w:color="auto" w:fill="FFFFFF" w:themeFill="background1"/>
            <w:vAlign w:val="center"/>
          </w:tcPr>
          <w:p w14:paraId="1D2E688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单道可变量程移液器</w:t>
            </w:r>
          </w:p>
        </w:tc>
        <w:tc>
          <w:tcPr>
            <w:tcW w:w="925" w:type="dxa"/>
            <w:shd w:val="clear" w:color="auto" w:fill="FFFFFF" w:themeFill="background1"/>
            <w:vAlign w:val="center"/>
          </w:tcPr>
          <w:p w14:paraId="186D2125">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4</w:t>
            </w:r>
          </w:p>
        </w:tc>
        <w:tc>
          <w:tcPr>
            <w:tcW w:w="5613" w:type="dxa"/>
            <w:shd w:val="clear" w:color="auto" w:fill="FFFFFF" w:themeFill="background1"/>
            <w:vAlign w:val="center"/>
          </w:tcPr>
          <w:p w14:paraId="2D9D45F6">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全新的低阻力（Lip Seal）密封系统使密封更完美，具有弹性，使用寿命更长；提供低阻力密封使活塞运行更顺滑，移液更流畅，不会出现跳液现象；</w:t>
            </w:r>
          </w:p>
          <w:p w14:paraId="0591A6B8">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稳定可靠的活塞技术，常用的1ml移液器采用高分子材料活塞，有效防止移液操作失误造成的活塞腐蚀，使移液器寿命更长；&lt; 1000uL量程，采用不锈钢金属活塞，尺寸稳定可靠不变形；</w:t>
            </w:r>
          </w:p>
          <w:p w14:paraId="3FB584BC">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生产厂家具备原厂CNAS校准资质，移液精度有保障；</w:t>
            </w:r>
          </w:p>
          <w:p w14:paraId="31B1FA5D">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刻度式数字量程调节，高精度数字齿轮传动无“咔咔”噪音，侧面显示体积视窗；</w:t>
            </w:r>
          </w:p>
          <w:p w14:paraId="13DE8200">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▲具备旋转开关式量程锁和锁样标识，方便移液量程锁定防止被意外更改移液安全有保证；</w:t>
            </w:r>
          </w:p>
          <w:p w14:paraId="5A2E0706">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▲PVDF材料的退吸头臂耐腐蚀提高移液器使用寿命，20ul以上量程采用半包式退吸头臂方便拆卸清洗；</w:t>
            </w:r>
          </w:p>
          <w:p w14:paraId="32D066E5">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▲移液器按钮上具备软胶套，旋钮调节手感更舒适；</w:t>
            </w:r>
          </w:p>
          <w:p w14:paraId="00082062">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▲20uL移液器标配退吸头臂加长套，适配吸头范围更广泛，可以适配10ul小吸头，特别适合珍贵微量样品；</w:t>
            </w:r>
          </w:p>
          <w:p w14:paraId="52CF0420">
            <w:pPr>
              <w:widowControl/>
              <w:numPr>
                <w:ilvl w:val="0"/>
                <w:numId w:val="5"/>
              </w:numPr>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rPr>
              <w:t>▲2ul、10ul小量程移液器套柄采用非金属材质并且吸嘴无弹性更方便匹配吸头，高分子材料的套柄和吸头贴合性更好，终身免费更换套柄配件；移液器指钩上方具有覆膜贴纸式信息标签，方便标识移液器信息</w:t>
            </w:r>
          </w:p>
          <w:p w14:paraId="6ADE2620">
            <w:pPr>
              <w:widowControl/>
              <w:numPr>
                <w:ilvl w:val="0"/>
                <w:numId w:val="5"/>
              </w:numPr>
              <w:jc w:val="left"/>
              <w:textAlignment w:val="center"/>
              <w:rPr>
                <w:rFonts w:ascii="宋体" w:hAnsi="宋体" w:cs="宋体"/>
                <w:color w:val="auto"/>
                <w:sz w:val="24"/>
                <w:highlight w:val="none"/>
              </w:rPr>
            </w:pPr>
            <w:r>
              <w:rPr>
                <w:rFonts w:hint="eastAsia" w:ascii="宋体" w:hAnsi="宋体" w:cs="宋体"/>
                <w:color w:val="auto"/>
                <w:sz w:val="24"/>
                <w:highlight w:val="none"/>
              </w:rPr>
              <w:t>量程分别为2</w:t>
            </w:r>
            <w:r>
              <w:rPr>
                <w:rFonts w:hint="eastAsia" w:ascii="宋体" w:hAnsi="宋体" w:cs="宋体"/>
                <w:color w:val="auto"/>
                <w:sz w:val="20"/>
                <w:szCs w:val="20"/>
                <w:highlight w:val="none"/>
              </w:rPr>
              <w:t>ul、10ul、100ul、1000ul。</w:t>
            </w:r>
          </w:p>
        </w:tc>
      </w:tr>
      <w:tr w14:paraId="5F0E77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shd w:val="clear" w:color="auto" w:fill="FFFFFF" w:themeFill="background1"/>
            <w:vAlign w:val="center"/>
          </w:tcPr>
          <w:p w14:paraId="5853765E">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31</w:t>
            </w:r>
          </w:p>
        </w:tc>
        <w:tc>
          <w:tcPr>
            <w:tcW w:w="1325" w:type="dxa"/>
            <w:shd w:val="clear" w:color="auto" w:fill="FFFFFF" w:themeFill="background1"/>
            <w:vAlign w:val="center"/>
          </w:tcPr>
          <w:p w14:paraId="14F0CD2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台式恒温振荡器</w:t>
            </w:r>
          </w:p>
        </w:tc>
        <w:tc>
          <w:tcPr>
            <w:tcW w:w="925" w:type="dxa"/>
            <w:shd w:val="clear" w:color="auto" w:fill="FFFFFF" w:themeFill="background1"/>
            <w:vAlign w:val="center"/>
          </w:tcPr>
          <w:p w14:paraId="74FB9600">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shd w:val="clear" w:color="auto" w:fill="FFFFFF" w:themeFill="background1"/>
            <w:vAlign w:val="center"/>
          </w:tcPr>
          <w:p w14:paraId="72B684B8">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液晶显示屏，菜单式操作界面，精确、实时显示温度以及转速和工作时间，带有定时功能。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控制系统可确保摇床启动平稳。</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低散热无刷直流电机，能长时间连续运行，有单一旋转模式和顺转逆转振荡模式可选。</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台式振荡器采用高清弧形有机玻璃罩，便于清晰观察样品。</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振荡频率：40-300转/分</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振幅：φ 20mm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控温范围RT+5-65度</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温度分辨率0.1℃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温度波动度±0.5℃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输入功率400W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标准配置100ml×3，150ml×3，250ml×3</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最大容量150ml×12，或250ml×12，或500ml×9，或1000ml×5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 摆板尺寸(mm)375×320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 定时范围0~99小时</w:t>
            </w:r>
          </w:p>
        </w:tc>
      </w:tr>
      <w:tr w14:paraId="12AE45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4909C401">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32</w:t>
            </w:r>
          </w:p>
        </w:tc>
        <w:tc>
          <w:tcPr>
            <w:tcW w:w="1325" w:type="dxa"/>
            <w:vAlign w:val="center"/>
          </w:tcPr>
          <w:p w14:paraId="16B147E9">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电热恒温鼓风干燥箱</w:t>
            </w:r>
          </w:p>
        </w:tc>
        <w:tc>
          <w:tcPr>
            <w:tcW w:w="925" w:type="dxa"/>
            <w:vAlign w:val="center"/>
          </w:tcPr>
          <w:p w14:paraId="2A207E8D">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3BA3B6F2">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 xml:space="preserve">1. 箱体采用优质钢板，工作室采用304不锈钢板；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微电脑智能控温仪，具有设定、测定温度双数字显示、定时、功率抑制和自整定功能，控温精确可靠。</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热风循环系统由能在高温下连续运转的风机和合适的风道组成，工作室内温度均匀。</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橡胶密封条，能长期高温运行，使用寿命长，便于更换。</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超温报警系统，超过限制温度仪表可进行声光报警并切断加热管电源，保证实验安全运行不发生意外</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工作室尺寸：≥540*575*750MM；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控温范围：室温+10~200℃ ±1℃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带鼓风，消耗功率2200W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不锈钢内胆，带观察窗</w:t>
            </w:r>
          </w:p>
        </w:tc>
      </w:tr>
      <w:tr w14:paraId="310C8D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42BE1B32">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33</w:t>
            </w:r>
          </w:p>
        </w:tc>
        <w:tc>
          <w:tcPr>
            <w:tcW w:w="1325" w:type="dxa"/>
            <w:vAlign w:val="center"/>
          </w:tcPr>
          <w:p w14:paraId="1226358B">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电热恒温水浴锅</w:t>
            </w:r>
          </w:p>
        </w:tc>
        <w:tc>
          <w:tcPr>
            <w:tcW w:w="925" w:type="dxa"/>
            <w:vAlign w:val="center"/>
          </w:tcPr>
          <w:p w14:paraId="5EE0C9F2">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70B02872">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一次冲压成型不锈钢内胆，便于内胆清洗工作。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微电脑智能控温仪，具有设定、测定温度双数字显示和PID 自整定功能；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超温报警系统，声光报警提示操作者保证实验安全运行不发生意外。</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双列4孔</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控温范围RT+5～100℃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6. 控 温精 度0.1℃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温度波动度±0.5℃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8. 消 耗功 率 800W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工作室尺寸≥300×240×110mm</w:t>
            </w:r>
          </w:p>
        </w:tc>
      </w:tr>
      <w:tr w14:paraId="3AF2F7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49AEC340">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34</w:t>
            </w:r>
          </w:p>
        </w:tc>
        <w:tc>
          <w:tcPr>
            <w:tcW w:w="1325" w:type="dxa"/>
            <w:vAlign w:val="center"/>
          </w:tcPr>
          <w:p w14:paraId="50854085">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电热恒温培养箱</w:t>
            </w:r>
          </w:p>
        </w:tc>
        <w:tc>
          <w:tcPr>
            <w:tcW w:w="925" w:type="dxa"/>
            <w:vAlign w:val="center"/>
          </w:tcPr>
          <w:p w14:paraId="23091917">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vAlign w:val="center"/>
          </w:tcPr>
          <w:p w14:paraId="2F145AFA">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 xml:space="preserve">1、电源电压220V 50HZ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2、控温范围 RT+5～65℃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3、温度分辨率 0.1℃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4、温度波动度±0.5℃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5、工作环境温度 5～30℃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6、输入功率 200W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7、容积 50L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8、工作室尺寸(mm) 350×350×410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9、外形尺寸(mm) 470×460×625</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10、载物托架(标配) 2块</w:t>
            </w:r>
          </w:p>
        </w:tc>
      </w:tr>
      <w:tr w14:paraId="4308D9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16107236">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35</w:t>
            </w:r>
          </w:p>
        </w:tc>
        <w:tc>
          <w:tcPr>
            <w:tcW w:w="1325" w:type="dxa"/>
            <w:vAlign w:val="center"/>
          </w:tcPr>
          <w:p w14:paraId="0FFA30C0">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磁力搅拌器</w:t>
            </w:r>
          </w:p>
        </w:tc>
        <w:tc>
          <w:tcPr>
            <w:tcW w:w="925" w:type="dxa"/>
            <w:vAlign w:val="center"/>
          </w:tcPr>
          <w:p w14:paraId="0C2CF2E5">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vAlign w:val="center"/>
          </w:tcPr>
          <w:p w14:paraId="336EF70F">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数字控温，最高温度达280℃；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数控调速，最大转速可达1500rpm；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不锈钢陶瓷涂层工作盘极耐化学腐蚀；</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LED 显示屏同时显示温度和转速；</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余热警告功能：当盘面温度超过50℃时，显示屏“HOT”闪烁，提示高温，提升操作者安全性；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独立的安全回路控制系统，超过安全温度320℃自动停止加热，提高用户使用安全性；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工作盘尺寸：   φ135mm（5英寸）</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盘面材料：  不锈钢陶瓷涂层</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电机类型：  直流无刷电机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 xml:space="preserve">10. 电机输入功率：    5W </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电机输出功率：   3W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功率：    515W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13. 搅拌点位数量  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 最大搅拌量：  3L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15. 搅拌子最大尺寸：  50mm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16. 转速范围：   200-1500rpm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17. 转速显示分辨率：  ±1rpm</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18. 热输出功率：  500W</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19. 加热温度范围：  室温-280℃，步长1°C</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20. 工作盘控制精度：  ±1(&lt;100°C)±1%(&gt;100°C)</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21. 温度显示分辨率：   ±1℃</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22. 外置温度传感器：  PT1000</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23. 配置：主机+ PT1000温度传感器+支架</w:t>
            </w:r>
          </w:p>
        </w:tc>
      </w:tr>
      <w:tr w14:paraId="64BFA3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shd w:val="clear" w:color="auto" w:fill="FFFFFF" w:themeFill="background1"/>
            <w:vAlign w:val="center"/>
          </w:tcPr>
          <w:p w14:paraId="458583E4">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36</w:t>
            </w:r>
          </w:p>
        </w:tc>
        <w:tc>
          <w:tcPr>
            <w:tcW w:w="1325" w:type="dxa"/>
            <w:shd w:val="clear" w:color="auto" w:fill="FFFFFF" w:themeFill="background1"/>
            <w:vAlign w:val="center"/>
          </w:tcPr>
          <w:p w14:paraId="2E2193A7">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液氮罐</w:t>
            </w:r>
          </w:p>
        </w:tc>
        <w:tc>
          <w:tcPr>
            <w:tcW w:w="925" w:type="dxa"/>
            <w:shd w:val="clear" w:color="auto" w:fill="FFFFFF" w:themeFill="background1"/>
            <w:vAlign w:val="center"/>
          </w:tcPr>
          <w:p w14:paraId="592A2EA1">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2</w:t>
            </w:r>
          </w:p>
        </w:tc>
        <w:tc>
          <w:tcPr>
            <w:tcW w:w="5613" w:type="dxa"/>
            <w:shd w:val="clear" w:color="auto" w:fill="FFFFFF" w:themeFill="background1"/>
            <w:vAlign w:val="center"/>
          </w:tcPr>
          <w:p w14:paraId="424BC2D6">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容积≥10L</w:t>
            </w:r>
          </w:p>
          <w:p w14:paraId="6F7E583E">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提桶数量≥6组</w:t>
            </w:r>
          </w:p>
          <w:p w14:paraId="5D0C2DD2">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提桶直径≥38mm</w:t>
            </w:r>
          </w:p>
          <w:p w14:paraId="3746AF53">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提桶高度≥120mm</w:t>
            </w:r>
          </w:p>
          <w:p w14:paraId="2DC0DB6B">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静态蒸发率L/day≤0.115</w:t>
            </w:r>
          </w:p>
          <w:p w14:paraId="5AAE70A9">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静态液氮保存天数≥52</w:t>
            </w:r>
          </w:p>
          <w:p w14:paraId="7124E699">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罐口尺寸≥50mm</w:t>
            </w:r>
          </w:p>
          <w:p w14:paraId="2FAF684E">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总高度≤488mm</w:t>
            </w:r>
          </w:p>
          <w:p w14:paraId="77414163">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外径≥300mm</w:t>
            </w:r>
          </w:p>
          <w:p w14:paraId="1D7676FE">
            <w:pPr>
              <w:widowControl/>
              <w:numPr>
                <w:ilvl w:val="0"/>
                <w:numId w:val="6"/>
              </w:numPr>
              <w:jc w:val="left"/>
              <w:textAlignment w:val="center"/>
              <w:rPr>
                <w:rFonts w:ascii="宋体" w:hAnsi="宋体" w:cs="宋体"/>
                <w:color w:val="auto"/>
                <w:kern w:val="0"/>
                <w:sz w:val="20"/>
                <w:szCs w:val="20"/>
                <w:highlight w:val="none"/>
                <w:lang w:bidi="ar"/>
              </w:rPr>
            </w:pPr>
            <w:r>
              <w:rPr>
                <w:rFonts w:hint="eastAsia" w:ascii="宋体" w:hAnsi="宋体" w:cs="宋体"/>
                <w:color w:val="auto"/>
                <w:kern w:val="0"/>
                <w:sz w:val="20"/>
                <w:szCs w:val="20"/>
                <w:highlight w:val="none"/>
                <w:lang w:bidi="ar"/>
              </w:rPr>
              <w:t>重量≤5.3kg</w:t>
            </w:r>
          </w:p>
        </w:tc>
      </w:tr>
      <w:tr w14:paraId="793D05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36" w:type="dxa"/>
            <w:vAlign w:val="center"/>
          </w:tcPr>
          <w:p w14:paraId="26FD90CD">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37</w:t>
            </w:r>
          </w:p>
        </w:tc>
        <w:tc>
          <w:tcPr>
            <w:tcW w:w="1325" w:type="dxa"/>
            <w:vAlign w:val="center"/>
          </w:tcPr>
          <w:p w14:paraId="68A8E18F">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PH计</w:t>
            </w:r>
          </w:p>
        </w:tc>
        <w:tc>
          <w:tcPr>
            <w:tcW w:w="925" w:type="dxa"/>
            <w:vAlign w:val="center"/>
          </w:tcPr>
          <w:p w14:paraId="31E22A07">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4C732AC7">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仪器级别：0.01级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6.0英寸高清液晶显示，按键操作</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支持自动关机、断电保护和恢复出厂设置等功能</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支持IP54防护等级</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标配复合pH电极、电极支架、防尘罩和校准缓冲粉剂</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6. 智能判别终点，支持平衡测量模式和连续测量模式</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7. 支持手动温度补偿</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支持1-3点pH电极标定</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自动识别GB 4.00pH、6.86pH、9.18pH三种pH标准缓冲溶液，支持自定义pH缓冲溶液</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mV参数：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10.1 范围(-1999～1999)mV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10.2 最小分辨率1 mV</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10.3 电子单元示值误差±0.1%FS</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pH参数：</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11.1 范围(-2.00～18.00)pH</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11.2 最小分辨率0.01pH</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11.3 电子单元示值误差±0.01pH</w:t>
            </w:r>
          </w:p>
        </w:tc>
      </w:tr>
      <w:tr w14:paraId="2CAFEE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dxa"/>
            <w:vAlign w:val="center"/>
          </w:tcPr>
          <w:p w14:paraId="34FAD852">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38</w:t>
            </w:r>
          </w:p>
        </w:tc>
        <w:tc>
          <w:tcPr>
            <w:tcW w:w="1325" w:type="dxa"/>
            <w:vAlign w:val="center"/>
          </w:tcPr>
          <w:p w14:paraId="16499C15">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双开门冰箱</w:t>
            </w:r>
          </w:p>
        </w:tc>
        <w:tc>
          <w:tcPr>
            <w:tcW w:w="925" w:type="dxa"/>
            <w:vAlign w:val="center"/>
          </w:tcPr>
          <w:p w14:paraId="20F58063">
            <w:pPr>
              <w:widowControl/>
              <w:jc w:val="center"/>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w:t>
            </w:r>
          </w:p>
        </w:tc>
        <w:tc>
          <w:tcPr>
            <w:tcW w:w="5613" w:type="dxa"/>
            <w:vAlign w:val="center"/>
          </w:tcPr>
          <w:p w14:paraId="054B16A2">
            <w:pPr>
              <w:widowControl/>
              <w:jc w:val="left"/>
              <w:textAlignment w:val="center"/>
              <w:rPr>
                <w:rFonts w:ascii="宋体" w:hAnsi="宋体" w:cs="宋体"/>
                <w:color w:val="auto"/>
                <w:sz w:val="24"/>
                <w:highlight w:val="none"/>
              </w:rPr>
            </w:pPr>
            <w:r>
              <w:rPr>
                <w:rFonts w:hint="eastAsia" w:ascii="宋体" w:hAnsi="宋体" w:cs="宋体"/>
                <w:color w:val="auto"/>
                <w:kern w:val="0"/>
                <w:sz w:val="20"/>
                <w:szCs w:val="20"/>
                <w:highlight w:val="none"/>
                <w:lang w:bidi="ar"/>
              </w:rPr>
              <w:t>1. 容量与分区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2. 总容积：630L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3. 冷藏室：403L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4. 冷冻室：227L</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5. 制冷方式：风冷</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8. 压缩机：变频压缩机</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9. 冷冻能力：8.5kg/12h</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10. 能效与噪音:能效等级：一级能效;噪音：≤38dB(A)，低噪运行.</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11. 温控方式：电脑控温;</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12. 除菌净味：冷藏室配备净味技术，抑制细菌和异味。</w:t>
            </w:r>
            <w:r>
              <w:rPr>
                <w:rFonts w:hint="eastAsia" w:ascii="宋体" w:hAnsi="宋体" w:cs="宋体"/>
                <w:color w:val="auto"/>
                <w:kern w:val="0"/>
                <w:sz w:val="20"/>
                <w:szCs w:val="20"/>
                <w:highlight w:val="none"/>
                <w:lang w:bidi="ar"/>
              </w:rPr>
              <w:br w:type="textWrapping"/>
            </w:r>
            <w:r>
              <w:rPr>
                <w:rFonts w:hint="eastAsia" w:ascii="宋体" w:hAnsi="宋体" w:cs="宋体"/>
                <w:color w:val="auto"/>
                <w:kern w:val="0"/>
                <w:sz w:val="20"/>
                <w:szCs w:val="20"/>
                <w:highlight w:val="none"/>
                <w:lang w:bidi="ar"/>
              </w:rPr>
              <w:t>14. 散热方式：两侧散热;</w:t>
            </w:r>
          </w:p>
        </w:tc>
      </w:tr>
    </w:tbl>
    <w:p w14:paraId="746F305A">
      <w:pPr>
        <w:spacing w:line="300" w:lineRule="auto"/>
        <w:rPr>
          <w:rFonts w:ascii="宋体" w:hAnsi="宋体"/>
          <w:color w:val="auto"/>
          <w:sz w:val="24"/>
          <w:highlight w:val="none"/>
        </w:rPr>
      </w:pPr>
    </w:p>
    <w:p w14:paraId="689ED67E">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★四、商务要求</w:t>
      </w:r>
    </w:p>
    <w:tbl>
      <w:tblPr>
        <w:tblStyle w:val="2"/>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39CBDF7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0978BE5">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0DEAE27">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国家有统一规定的执行国家规定，没有规定的原则上不少于12个月</w:t>
            </w:r>
            <w:r>
              <w:rPr>
                <w:rFonts w:hint="eastAsia" w:ascii="宋体" w:hAnsi="宋体"/>
                <w:color w:val="auto"/>
                <w:szCs w:val="21"/>
                <w:highlight w:val="none"/>
                <w:shd w:val="clear" w:color="auto" w:fill="FFFFFF"/>
              </w:rPr>
              <w:t>。</w:t>
            </w:r>
          </w:p>
        </w:tc>
      </w:tr>
      <w:tr w14:paraId="17C59E4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D48B524">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95A08E9">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含安装、调试、维修、保养、人员培训等。</w:t>
            </w:r>
          </w:p>
          <w:p w14:paraId="1E149C87">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培训仅限于基本操作培训。</w:t>
            </w:r>
          </w:p>
        </w:tc>
      </w:tr>
      <w:tr w14:paraId="6A47D25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3556B86">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F0ABED5">
            <w:pPr>
              <w:shd w:val="solid" w:color="FFFFFF" w:fill="auto"/>
              <w:autoSpaceDN w:val="0"/>
              <w:snapToGrid w:val="0"/>
              <w:spacing w:after="100" w:afterAutospacing="1"/>
              <w:jc w:val="left"/>
              <w:rPr>
                <w:rFonts w:ascii="宋体" w:hAnsi="宋体"/>
                <w:color w:val="auto"/>
                <w:szCs w:val="21"/>
                <w:highlight w:val="none"/>
                <w:shd w:val="clear" w:color="auto" w:fill="FFFFFF"/>
              </w:rPr>
            </w:pPr>
            <w:r>
              <w:rPr>
                <w:rFonts w:hint="eastAsia" w:ascii="宋体" w:hAnsi="宋体" w:cs="宋体"/>
                <w:color w:val="auto"/>
                <w:highlight w:val="none"/>
              </w:rPr>
              <w:t>合同签订生效</w:t>
            </w:r>
            <w:r>
              <w:rPr>
                <w:rFonts w:hint="eastAsia" w:ascii="宋体" w:hAnsi="宋体" w:cs="宋体"/>
                <w:color w:val="auto"/>
                <w:szCs w:val="21"/>
                <w:highlight w:val="none"/>
              </w:rPr>
              <w:t xml:space="preserve">后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45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天内。</w:t>
            </w:r>
            <w:r>
              <w:rPr>
                <w:rFonts w:hint="eastAsia" w:ascii="宋体" w:hAnsi="宋体" w:cs="宋体"/>
                <w:color w:val="auto"/>
                <w:highlight w:val="none"/>
              </w:rPr>
              <w:t>逾期提供货物，每天按合同款总额2‰的额度支付延期交货违约金（具体见第五章合同条款）。</w:t>
            </w:r>
          </w:p>
        </w:tc>
      </w:tr>
      <w:tr w14:paraId="58D1B6F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05D08BA">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C24BF74">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3105194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064AB8D">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115EBD5">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8 </w:t>
            </w:r>
            <w:r>
              <w:rPr>
                <w:rFonts w:hint="eastAsia" w:ascii="宋体" w:hAnsi="宋体" w:cs="宋体"/>
                <w:color w:val="auto"/>
                <w:szCs w:val="21"/>
                <w:highlight w:val="none"/>
              </w:rPr>
              <w:t>小时内响应甲方的维修要求，</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小时内解决，如超过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小时仍不能解决，由乙方在</w:t>
            </w:r>
            <w:r>
              <w:rPr>
                <w:rFonts w:hint="eastAsia" w:ascii="宋体" w:hAnsi="宋体" w:cs="宋体"/>
                <w:color w:val="auto"/>
                <w:szCs w:val="21"/>
                <w:highlight w:val="none"/>
                <w:u w:val="single"/>
              </w:rPr>
              <w:t xml:space="preserve"> 144 </w:t>
            </w:r>
            <w:r>
              <w:rPr>
                <w:rFonts w:hint="eastAsia" w:ascii="宋体" w:hAnsi="宋体" w:cs="宋体"/>
                <w:color w:val="auto"/>
                <w:szCs w:val="21"/>
                <w:highlight w:val="none"/>
              </w:rPr>
              <w:t>小时内提供性能不低于故障产品的备用产品。</w:t>
            </w:r>
          </w:p>
        </w:tc>
      </w:tr>
    </w:tbl>
    <w:p w14:paraId="2BA7AB49">
      <w:pPr>
        <w:spacing w:line="300" w:lineRule="auto"/>
        <w:ind w:firstLine="480" w:firstLineChars="200"/>
        <w:rPr>
          <w:rFonts w:ascii="宋体" w:hAnsi="宋体"/>
          <w:color w:val="auto"/>
          <w:sz w:val="24"/>
          <w:highlight w:val="none"/>
        </w:rPr>
      </w:pPr>
    </w:p>
    <w:p w14:paraId="5A62D7F9">
      <w:pPr>
        <w:spacing w:line="300" w:lineRule="auto"/>
        <w:ind w:firstLine="480" w:firstLineChars="200"/>
        <w:rPr>
          <w:rFonts w:ascii="宋体" w:hAnsi="宋体"/>
          <w:color w:val="auto"/>
          <w:sz w:val="24"/>
          <w:highlight w:val="none"/>
        </w:rPr>
      </w:pPr>
    </w:p>
    <w:p w14:paraId="1D045E1A">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五、履约验收要求</w:t>
      </w:r>
    </w:p>
    <w:p w14:paraId="4B9ABB79">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0A16FB5C">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2EB5A934">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中标人在交货前应对所有货物初步检查，并列出清单，作为采购人收货验收和使用的技术条件依据，清单应随货物一起交付采购人。</w:t>
      </w:r>
    </w:p>
    <w:p w14:paraId="0A28ECE3">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5F146E65">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2DDBFFCB">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6BF0E62F">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六、其它要求</w:t>
      </w:r>
    </w:p>
    <w:p w14:paraId="13BB984E">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(1)因不同投标人的设备设计原理未必完全相同，投标人可视自身情况配置设备及附件，但应能充分满足招标人的功能及参数要求。</w:t>
      </w:r>
    </w:p>
    <w:p w14:paraId="1ECEAC4C">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(2)投标人应保证提供满足招标人正常使用的必要配置及附件而不再需要花费任何额外的费用，即使采购方在制定招标书时要求不够具体。安装后就能正常工作。</w:t>
      </w:r>
    </w:p>
    <w:p w14:paraId="79B4AFC8">
      <w:pPr>
        <w:spacing w:line="300" w:lineRule="auto"/>
        <w:ind w:firstLine="480" w:firstLineChars="200"/>
        <w:rPr>
          <w:rFonts w:ascii="宋体" w:hAnsi="宋体" w:cs="MS Shell Dlg"/>
          <w:color w:val="auto"/>
          <w:sz w:val="24"/>
          <w:highlight w:val="none"/>
        </w:rPr>
      </w:pPr>
      <w:r>
        <w:rPr>
          <w:rFonts w:hint="eastAsia" w:ascii="宋体" w:hAnsi="宋体" w:cs="MS Shell Dlg"/>
          <w:color w:val="auto"/>
          <w:sz w:val="24"/>
          <w:highlight w:val="none"/>
        </w:rPr>
        <w:t>(3)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p w14:paraId="101CF5DB">
      <w:r>
        <w:rPr>
          <w:rFonts w:ascii="宋体" w:hAnsi="宋体" w:cs="MS Shell Dlg"/>
          <w:color w:val="auto"/>
          <w:szCs w:val="21"/>
          <w:highlight w:val="none"/>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2ECE0B"/>
    <w:multiLevelType w:val="singleLevel"/>
    <w:tmpl w:val="B12ECE0B"/>
    <w:lvl w:ilvl="0" w:tentative="0">
      <w:start w:val="10"/>
      <w:numFmt w:val="decimal"/>
      <w:suff w:val="nothing"/>
      <w:lvlText w:val="%1、"/>
      <w:lvlJc w:val="left"/>
    </w:lvl>
  </w:abstractNum>
  <w:abstractNum w:abstractNumId="1">
    <w:nsid w:val="FD0EA096"/>
    <w:multiLevelType w:val="singleLevel"/>
    <w:tmpl w:val="FD0EA096"/>
    <w:lvl w:ilvl="0" w:tentative="0">
      <w:start w:val="1"/>
      <w:numFmt w:val="decimal"/>
      <w:suff w:val="nothing"/>
      <w:lvlText w:val="%1、"/>
      <w:lvlJc w:val="left"/>
    </w:lvl>
  </w:abstractNum>
  <w:abstractNum w:abstractNumId="2">
    <w:nsid w:val="18E21F73"/>
    <w:multiLevelType w:val="singleLevel"/>
    <w:tmpl w:val="18E21F73"/>
    <w:lvl w:ilvl="0" w:tentative="0">
      <w:start w:val="1"/>
      <w:numFmt w:val="decimal"/>
      <w:suff w:val="nothing"/>
      <w:lvlText w:val="%1、"/>
      <w:lvlJc w:val="left"/>
    </w:lvl>
  </w:abstractNum>
  <w:abstractNum w:abstractNumId="3">
    <w:nsid w:val="3480E122"/>
    <w:multiLevelType w:val="singleLevel"/>
    <w:tmpl w:val="3480E122"/>
    <w:lvl w:ilvl="0" w:tentative="0">
      <w:start w:val="1"/>
      <w:numFmt w:val="decimal"/>
      <w:suff w:val="nothing"/>
      <w:lvlText w:val="%1、"/>
      <w:lvlJc w:val="left"/>
    </w:lvl>
  </w:abstractNum>
  <w:abstractNum w:abstractNumId="4">
    <w:nsid w:val="3DD294CF"/>
    <w:multiLevelType w:val="singleLevel"/>
    <w:tmpl w:val="3DD294CF"/>
    <w:lvl w:ilvl="0" w:tentative="0">
      <w:start w:val="1"/>
      <w:numFmt w:val="decimal"/>
      <w:suff w:val="space"/>
      <w:lvlText w:val="%1."/>
      <w:lvlJc w:val="left"/>
    </w:lvl>
  </w:abstractNum>
  <w:abstractNum w:abstractNumId="5">
    <w:nsid w:val="508E4607"/>
    <w:multiLevelType w:val="singleLevel"/>
    <w:tmpl w:val="508E4607"/>
    <w:lvl w:ilvl="0" w:tentative="0">
      <w:start w:val="3"/>
      <w:numFmt w:val="chineseCounting"/>
      <w:suff w:val="nothing"/>
      <w:lvlText w:val="%1、"/>
      <w:lvlJc w:val="left"/>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E168D3"/>
    <w:rsid w:val="030E6BBE"/>
    <w:rsid w:val="09101BBC"/>
    <w:rsid w:val="091F0E9B"/>
    <w:rsid w:val="09623170"/>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607C3374"/>
    <w:rsid w:val="69683078"/>
    <w:rsid w:val="6E0C6685"/>
    <w:rsid w:val="78E168D3"/>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2026-06-08T10:05:00Z</dcterms:created>
  <dc:creator>WD..</dc:creator>
  <cp:lastModifiedBy>WD..</cp:lastModifiedBy>
  <dcterms:modified xsi:type="dcterms:W3CDTF">2026-06-08T10:06:34Z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333D34BC7C094090BBA22766BFC1D7B0_11</vt:lpwstr>
  </property>
  <property fmtid="{D5CDD505-2E9C-101B-9397-08002B2CF9AE}" pid="4" name="KSOTemplateDocerSaveRecord">
    <vt:lpwstr>eyJoZGlkIjoiZWNkMTE4ZjYyNTk1NDdlYjc5MWM1MjYwM2E5YjgyM2YiLCJ1c2VySWQiOiI0MzIxMTkxMDIifQ==</vt:lpwstr>
  </property>
</Properties>
</file>