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824BB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方正小标宋简体" w:hAnsi="方正小标宋简体" w:eastAsia="方正小标宋简体" w:cs="方正小标宋简体"/>
          <w:b w:val="0"/>
          <w:bCs w:val="0"/>
          <w:color w:val="000000"/>
          <w:sz w:val="36"/>
          <w:szCs w:val="36"/>
          <w:lang w:eastAsia="zh-CN"/>
        </w:rPr>
      </w:pPr>
      <w:r>
        <w:rPr>
          <w:rFonts w:hint="eastAsia" w:ascii="方正小标宋简体" w:hAnsi="方正小标宋简体" w:eastAsia="方正小标宋简体" w:cs="方正小标宋简体"/>
          <w:b w:val="0"/>
          <w:bCs w:val="0"/>
          <w:color w:val="000000"/>
          <w:sz w:val="36"/>
          <w:szCs w:val="36"/>
          <w:lang w:eastAsia="zh-CN"/>
        </w:rPr>
        <w:t>江苏海洋大学物业管理服务项目（三标段江苏海洋大学宋跳校区公共区域综合物业管理服务）采购需求</w:t>
      </w:r>
    </w:p>
    <w:p w14:paraId="56A4F5F6">
      <w:pPr>
        <w:spacing w:line="360" w:lineRule="auto"/>
        <w:ind w:firstLine="480"/>
        <w:jc w:val="left"/>
        <w:rPr>
          <w:rFonts w:hint="eastAsia" w:eastAsia="宋体"/>
          <w:b w:val="0"/>
          <w:bCs w:val="0"/>
          <w:color w:val="000000"/>
          <w:sz w:val="24"/>
          <w:szCs w:val="24"/>
          <w:lang w:val="en-US" w:eastAsia="zh-CN"/>
        </w:rPr>
      </w:pPr>
    </w:p>
    <w:p w14:paraId="34C581F6">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eastAsia="宋体"/>
          <w:b w:val="0"/>
          <w:bCs w:val="0"/>
          <w:color w:val="000000"/>
          <w:sz w:val="24"/>
          <w:szCs w:val="24"/>
          <w:lang w:val="en-US" w:eastAsia="zh-CN"/>
        </w:rPr>
      </w:pPr>
      <w:r>
        <w:rPr>
          <w:rFonts w:hint="eastAsia" w:eastAsia="宋体"/>
          <w:b w:val="0"/>
          <w:bCs w:val="0"/>
          <w:color w:val="000000"/>
          <w:sz w:val="24"/>
          <w:szCs w:val="24"/>
          <w:lang w:val="en-US" w:eastAsia="zh-CN"/>
        </w:rPr>
        <w:t>一、项目基本情况</w:t>
      </w:r>
    </w:p>
    <w:p w14:paraId="67E3625F">
      <w:pPr>
        <w:spacing w:line="360" w:lineRule="auto"/>
        <w:ind w:firstLine="480" w:firstLineChars="200"/>
        <w:rPr>
          <w:rFonts w:hint="eastAsia" w:ascii="宋体" w:hAnsi="宋体"/>
          <w:color w:val="000000"/>
          <w:sz w:val="24"/>
        </w:rPr>
      </w:pPr>
      <w:r>
        <w:rPr>
          <w:rFonts w:hint="eastAsia" w:ascii="宋体" w:hAnsi="宋体"/>
          <w:color w:val="000000"/>
          <w:sz w:val="24"/>
        </w:rPr>
        <w:t>标段名称：</w:t>
      </w:r>
      <w:r>
        <w:rPr>
          <w:rFonts w:hint="eastAsia" w:ascii="Calibri" w:hAnsi="Calibri"/>
          <w:sz w:val="24"/>
        </w:rPr>
        <w:t>三标段江苏海洋大学宋跳校区</w:t>
      </w:r>
      <w:r>
        <w:rPr>
          <w:rFonts w:hint="eastAsia"/>
          <w:sz w:val="24"/>
        </w:rPr>
        <w:t>公共区域综合</w:t>
      </w:r>
      <w:r>
        <w:rPr>
          <w:rFonts w:hint="eastAsia" w:ascii="Calibri" w:hAnsi="Calibri"/>
          <w:sz w:val="24"/>
        </w:rPr>
        <w:t>物业管理服务</w:t>
      </w:r>
    </w:p>
    <w:p w14:paraId="592A10C0">
      <w:pPr>
        <w:spacing w:line="360" w:lineRule="auto"/>
        <w:ind w:firstLine="480" w:firstLineChars="200"/>
        <w:rPr>
          <w:rFonts w:ascii="宋体" w:hAnsi="宋体"/>
          <w:color w:val="000000"/>
          <w:sz w:val="24"/>
        </w:rPr>
      </w:pPr>
      <w:r>
        <w:rPr>
          <w:rFonts w:hint="eastAsia" w:ascii="宋体" w:hAnsi="宋体"/>
          <w:color w:val="000000"/>
          <w:sz w:val="24"/>
        </w:rPr>
        <w:t>预算金额：人民币</w:t>
      </w:r>
      <w:r>
        <w:rPr>
          <w:rFonts w:hint="eastAsia" w:ascii="宋体" w:hAnsi="宋体"/>
          <w:sz w:val="24"/>
        </w:rPr>
        <w:t>353万元</w:t>
      </w:r>
      <w:r>
        <w:rPr>
          <w:rFonts w:hint="eastAsia" w:ascii="宋体" w:hAnsi="宋体"/>
          <w:color w:val="000000"/>
          <w:sz w:val="24"/>
        </w:rPr>
        <w:t>，投标报价超过预算金额的投标无效。</w:t>
      </w:r>
    </w:p>
    <w:p w14:paraId="27D042D6">
      <w:pPr>
        <w:spacing w:line="440" w:lineRule="exact"/>
        <w:ind w:firstLine="480"/>
        <w:jc w:val="left"/>
        <w:rPr>
          <w:rFonts w:hint="eastAsia" w:ascii="宋体" w:hAnsi="宋体" w:eastAsia="宋体"/>
          <w:sz w:val="24"/>
          <w:lang w:eastAsia="zh-CN"/>
        </w:rPr>
      </w:pPr>
      <w:r>
        <w:rPr>
          <w:rFonts w:hint="eastAsia" w:ascii="宋体" w:hAnsi="宋体"/>
          <w:color w:val="000000"/>
          <w:sz w:val="24"/>
        </w:rPr>
        <w:t>采购需求：江苏海洋大学宋跳校区占地约270亩，在校师生约3000人，现对物业管理服务进行公开招标，服务期限为3年，</w:t>
      </w:r>
      <w:r>
        <w:rPr>
          <w:rFonts w:hint="eastAsia" w:ascii="宋体" w:hAnsi="宋体"/>
          <w:sz w:val="24"/>
        </w:rPr>
        <w:t>服务范围包含公共楼宇、值班、绿化、内外保洁、小型维修、水面治理等服务内容，</w:t>
      </w:r>
      <w:r>
        <w:rPr>
          <w:rFonts w:hint="eastAsia" w:ascii="宋体" w:hAnsi="宋体"/>
          <w:color w:val="000000"/>
          <w:sz w:val="24"/>
        </w:rPr>
        <w:t>能够满足</w:t>
      </w:r>
      <w:r>
        <w:rPr>
          <w:rFonts w:hint="eastAsia" w:ascii="宋体" w:hAnsi="宋体"/>
          <w:sz w:val="24"/>
        </w:rPr>
        <w:t>江苏海洋大学宋跳校区公共楼宇和公共区域日常物业管理服务要求</w:t>
      </w:r>
      <w:r>
        <w:rPr>
          <w:rFonts w:hint="eastAsia" w:ascii="宋体" w:hAnsi="宋体" w:eastAsia="宋体"/>
          <w:sz w:val="24"/>
          <w:lang w:eastAsia="zh-CN"/>
        </w:rPr>
        <w:t>。</w:t>
      </w:r>
    </w:p>
    <w:p w14:paraId="68E744E7">
      <w:pPr>
        <w:spacing w:line="440" w:lineRule="exact"/>
        <w:ind w:firstLine="480"/>
        <w:jc w:val="left"/>
        <w:rPr>
          <w:rFonts w:ascii="Times New Roman" w:hAnsi="Times New Roman"/>
          <w:sz w:val="24"/>
          <w:szCs w:val="24"/>
        </w:rPr>
      </w:pPr>
      <w:r>
        <w:rPr>
          <w:rFonts w:ascii="Times New Roman" w:hAnsi="Times New Roman"/>
          <w:sz w:val="24"/>
          <w:szCs w:val="24"/>
        </w:rPr>
        <w:t>合同履行期限：</w:t>
      </w:r>
      <w:r>
        <w:rPr>
          <w:rFonts w:ascii="Times New Roman" w:hAnsi="Times New Roman"/>
          <w:color w:val="000000"/>
          <w:sz w:val="24"/>
        </w:rPr>
        <w:t>3年（合同约定时间起算）</w:t>
      </w:r>
    </w:p>
    <w:p w14:paraId="261C1C5E">
      <w:pPr>
        <w:spacing w:line="440" w:lineRule="exact"/>
        <w:ind w:firstLine="480"/>
        <w:jc w:val="left"/>
        <w:rPr>
          <w:rFonts w:ascii="Times New Roman" w:hAnsi="Times New Roman"/>
          <w:sz w:val="24"/>
          <w:szCs w:val="24"/>
        </w:rPr>
      </w:pPr>
      <w:r>
        <w:rPr>
          <w:rFonts w:ascii="Times New Roman" w:hAnsi="Times New Roman"/>
          <w:sz w:val="24"/>
          <w:szCs w:val="24"/>
        </w:rPr>
        <w:t>本项目（是/否）接受联合体投标：不接受联合体。</w:t>
      </w:r>
    </w:p>
    <w:p w14:paraId="441D7CB2">
      <w:pPr>
        <w:pStyle w:val="2"/>
        <w:rPr>
          <w:rFonts w:hint="default" w:eastAsia="新宋体"/>
          <w:lang w:val="en-US" w:eastAsia="zh-CN"/>
        </w:rPr>
      </w:pPr>
    </w:p>
    <w:p w14:paraId="2851184F">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default" w:eastAsia="宋体"/>
          <w:b w:val="0"/>
          <w:bCs w:val="0"/>
          <w:color w:val="000000"/>
          <w:sz w:val="24"/>
          <w:szCs w:val="24"/>
          <w:lang w:val="en-US" w:eastAsia="zh-CN"/>
        </w:rPr>
      </w:pPr>
      <w:r>
        <w:rPr>
          <w:rFonts w:hint="eastAsia" w:ascii="Times New Roman" w:hAnsi="Times New Roman" w:eastAsia="新宋体"/>
          <w:b/>
          <w:bCs/>
          <w:sz w:val="24"/>
          <w:szCs w:val="24"/>
          <w:lang w:val="en-US" w:eastAsia="zh-CN"/>
        </w:rPr>
        <w:t>二、</w:t>
      </w:r>
      <w:r>
        <w:rPr>
          <w:rFonts w:hint="eastAsia" w:eastAsia="宋体"/>
          <w:b w:val="0"/>
          <w:bCs w:val="0"/>
          <w:color w:val="000000"/>
          <w:sz w:val="24"/>
          <w:szCs w:val="24"/>
          <w:lang w:val="en-US" w:eastAsia="zh-CN"/>
        </w:rPr>
        <w:t>本项目的特定资格要求：无。</w:t>
      </w:r>
    </w:p>
    <w:p w14:paraId="62F6094E">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lang w:val="en-US" w:eastAsia="zh-CN"/>
        </w:rPr>
        <w:t>三、项目</w:t>
      </w:r>
      <w:r>
        <w:rPr>
          <w:rFonts w:hint="eastAsia" w:ascii="Times New Roman" w:hAnsi="Times New Roman" w:eastAsia="新宋体"/>
          <w:b w:val="0"/>
          <w:bCs w:val="0"/>
          <w:sz w:val="24"/>
          <w:szCs w:val="24"/>
          <w:highlight w:val="none"/>
        </w:rPr>
        <w:t>采购需求</w:t>
      </w:r>
    </w:p>
    <w:p w14:paraId="3734E7EA">
      <w:pPr>
        <w:spacing w:line="360" w:lineRule="auto"/>
        <w:ind w:firstLine="480" w:firstLineChars="200"/>
        <w:rPr>
          <w:rFonts w:hint="eastAsia" w:ascii="宋体" w:hAnsi="宋体"/>
          <w:b/>
          <w:color w:val="000000"/>
          <w:sz w:val="24"/>
        </w:rPr>
      </w:pPr>
      <w:r>
        <w:rPr>
          <w:rFonts w:hint="eastAsia" w:ascii="宋体" w:hAnsi="宋体"/>
          <w:b/>
          <w:color w:val="000000"/>
          <w:sz w:val="24"/>
        </w:rPr>
        <w:t>说明：本项目采购方式为公开招标，项目属性为服务，采购标的对应的中小企业划分标准所属行业为</w:t>
      </w:r>
      <w:r>
        <w:rPr>
          <w:rFonts w:hint="eastAsia" w:ascii="宋体" w:hAnsi="宋体"/>
          <w:b/>
          <w:color w:val="000000"/>
          <w:sz w:val="24"/>
          <w:u w:val="single"/>
        </w:rPr>
        <w:t>　物业管理　</w:t>
      </w:r>
      <w:r>
        <w:rPr>
          <w:rFonts w:hint="eastAsia" w:ascii="宋体" w:hAnsi="宋体"/>
          <w:b/>
          <w:color w:val="000000"/>
          <w:sz w:val="24"/>
        </w:rPr>
        <w:t>。</w:t>
      </w:r>
    </w:p>
    <w:p w14:paraId="14AF562F">
      <w:pPr>
        <w:autoSpaceDE w:val="0"/>
        <w:autoSpaceDN w:val="0"/>
        <w:adjustRightInd w:val="0"/>
        <w:spacing w:line="360" w:lineRule="auto"/>
        <w:ind w:firstLine="480" w:firstLineChars="200"/>
        <w:jc w:val="left"/>
        <w:rPr>
          <w:rFonts w:hint="eastAsia" w:ascii="宋体" w:hAnsi="宋体"/>
          <w:sz w:val="24"/>
        </w:rPr>
      </w:pPr>
      <w:r>
        <w:rPr>
          <w:rFonts w:hint="eastAsia" w:ascii="宋体" w:hAnsi="宋体"/>
          <w:sz w:val="24"/>
        </w:rPr>
        <w:t>1.根据《政府采购需求管理办法》等有关规定，采购人确定采购需求。</w:t>
      </w:r>
    </w:p>
    <w:p w14:paraId="7749AC9F">
      <w:pPr>
        <w:autoSpaceDE w:val="0"/>
        <w:autoSpaceDN w:val="0"/>
        <w:adjustRightInd w:val="0"/>
        <w:spacing w:line="360" w:lineRule="auto"/>
        <w:ind w:firstLine="480" w:firstLineChars="200"/>
        <w:jc w:val="left"/>
        <w:rPr>
          <w:rFonts w:hint="eastAsia" w:ascii="宋体" w:hAnsi="宋体"/>
          <w:bCs/>
          <w:sz w:val="24"/>
        </w:rPr>
      </w:pPr>
      <w:r>
        <w:rPr>
          <w:rFonts w:hint="eastAsia" w:ascii="宋体" w:hAnsi="宋体"/>
          <w:sz w:val="24"/>
        </w:rPr>
        <w:t>2.</w:t>
      </w:r>
      <w:r>
        <w:rPr>
          <w:rFonts w:hint="eastAsia" w:ascii="宋体" w:hAnsi="宋体"/>
          <w:bCs/>
          <w:sz w:val="24"/>
        </w:rPr>
        <w:t>本项目需求中</w:t>
      </w:r>
      <w:r>
        <w:rPr>
          <w:rFonts w:hint="eastAsia"/>
          <w:sz w:val="24"/>
        </w:rPr>
        <w:t>斜体且有下划线部分</w:t>
      </w:r>
      <w:r>
        <w:rPr>
          <w:rFonts w:hint="eastAsia" w:ascii="宋体" w:hAnsi="宋体"/>
          <w:bCs/>
          <w:sz w:val="24"/>
        </w:rPr>
        <w:t>为实质性要求和条件，由采购人根据实际情况设置，投标人必须逐条明确作出满足实质性要求和条件的响应，否则投标无效。</w:t>
      </w:r>
    </w:p>
    <w:p w14:paraId="75F07EB6">
      <w:pPr>
        <w:pStyle w:val="15"/>
        <w:rPr>
          <w:rFonts w:hint="eastAsia"/>
        </w:rPr>
      </w:pPr>
    </w:p>
    <w:p w14:paraId="5590E285">
      <w:pPr>
        <w:spacing w:line="360" w:lineRule="auto"/>
        <w:ind w:firstLine="480" w:firstLineChars="200"/>
        <w:rPr>
          <w:rFonts w:hint="eastAsia" w:ascii="宋体" w:hAnsi="宋体"/>
          <w:b/>
          <w:color w:val="000000"/>
          <w:sz w:val="24"/>
        </w:rPr>
      </w:pPr>
      <w:r>
        <w:rPr>
          <w:rFonts w:hint="eastAsia" w:ascii="宋体" w:hAnsi="宋体"/>
          <w:b/>
          <w:color w:val="000000"/>
          <w:sz w:val="24"/>
        </w:rPr>
        <w:t>一、项目概况</w:t>
      </w:r>
    </w:p>
    <w:p w14:paraId="25E7A40F">
      <w:pPr>
        <w:spacing w:line="360" w:lineRule="auto"/>
        <w:ind w:firstLine="480" w:firstLineChars="200"/>
        <w:rPr>
          <w:rFonts w:hint="eastAsia" w:ascii="宋体" w:hAnsi="宋体"/>
          <w:sz w:val="24"/>
        </w:rPr>
      </w:pPr>
      <w:r>
        <w:rPr>
          <w:rFonts w:hint="eastAsia" w:ascii="宋体" w:hAnsi="宋体"/>
          <w:sz w:val="24"/>
        </w:rPr>
        <w:t>江苏海洋大学宋跳校区占地约270亩，在校师生约3000人，现对物业管理服务进行公开招标，服务期限为3年。要求物业公司拟派人员不少于26人，能够满足宋跳校区日常的楼宇值班、</w:t>
      </w:r>
      <w:r>
        <w:rPr>
          <w:rFonts w:hint="eastAsia" w:ascii="宋体" w:hAnsi="宋体" w:cs="宋体"/>
          <w:color w:val="000000"/>
          <w:sz w:val="24"/>
        </w:rPr>
        <w:t>安全巡查、</w:t>
      </w:r>
      <w:r>
        <w:rPr>
          <w:rFonts w:hint="eastAsia" w:ascii="宋体" w:hAnsi="宋体"/>
          <w:sz w:val="24"/>
        </w:rPr>
        <w:t>小型维修、绿化、保洁等物业服务内容，同时要具备完善的规章管理制度，切实可行的管理措施，管理期间无责任事故发生，满意度达90%以上，遵守岗位纪律，符合相关岗位要求。</w:t>
      </w:r>
    </w:p>
    <w:p w14:paraId="311BABEA">
      <w:pPr>
        <w:spacing w:line="360" w:lineRule="auto"/>
        <w:ind w:firstLine="480" w:firstLineChars="200"/>
        <w:rPr>
          <w:rFonts w:hint="eastAsia" w:ascii="宋体" w:hAnsi="宋体"/>
          <w:b/>
          <w:color w:val="000000"/>
          <w:sz w:val="24"/>
        </w:rPr>
      </w:pPr>
      <w:r>
        <w:rPr>
          <w:rFonts w:hint="eastAsia" w:ascii="宋体" w:hAnsi="宋体"/>
          <w:b/>
          <w:color w:val="000000"/>
          <w:sz w:val="24"/>
        </w:rPr>
        <w:t>二、服务技术要求</w:t>
      </w:r>
    </w:p>
    <w:p w14:paraId="09ECCA17">
      <w:pPr>
        <w:spacing w:line="360" w:lineRule="auto"/>
        <w:ind w:firstLine="480" w:firstLineChars="200"/>
        <w:rPr>
          <w:rFonts w:hint="eastAsia"/>
          <w:b/>
          <w:sz w:val="24"/>
        </w:rPr>
      </w:pPr>
      <w:r>
        <w:rPr>
          <w:rFonts w:hint="eastAsia"/>
          <w:b/>
          <w:sz w:val="24"/>
        </w:rPr>
        <w:t>2.1服务范围：</w:t>
      </w:r>
    </w:p>
    <w:p w14:paraId="32621368">
      <w:pPr>
        <w:widowControl/>
        <w:spacing w:line="360" w:lineRule="auto"/>
        <w:ind w:firstLine="480" w:firstLineChars="200"/>
        <w:rPr>
          <w:rFonts w:ascii="宋体" w:hAnsi="宋体"/>
          <w:bCs/>
          <w:sz w:val="24"/>
          <w:szCs w:val="21"/>
        </w:rPr>
      </w:pPr>
      <w:r>
        <w:rPr>
          <w:rFonts w:hint="eastAsia" w:ascii="宋体" w:hAnsi="宋体"/>
          <w:bCs/>
          <w:sz w:val="24"/>
          <w:szCs w:val="21"/>
        </w:rPr>
        <w:t>（一）楼宇主要服务范围</w:t>
      </w:r>
    </w:p>
    <w:tbl>
      <w:tblPr>
        <w:tblStyle w:val="8"/>
        <w:tblW w:w="0" w:type="auto"/>
        <w:tblInd w:w="15" w:type="dxa"/>
        <w:tblLayout w:type="fixed"/>
        <w:tblCellMar>
          <w:top w:w="15" w:type="dxa"/>
          <w:left w:w="15" w:type="dxa"/>
          <w:bottom w:w="15" w:type="dxa"/>
          <w:right w:w="15" w:type="dxa"/>
        </w:tblCellMar>
      </w:tblPr>
      <w:tblGrid>
        <w:gridCol w:w="567"/>
        <w:gridCol w:w="1276"/>
        <w:gridCol w:w="1276"/>
        <w:gridCol w:w="6237"/>
      </w:tblGrid>
      <w:tr w14:paraId="3CD9B190">
        <w:tblPrEx>
          <w:tblCellMar>
            <w:top w:w="15" w:type="dxa"/>
            <w:left w:w="15" w:type="dxa"/>
            <w:bottom w:w="15" w:type="dxa"/>
            <w:right w:w="15" w:type="dxa"/>
          </w:tblCellMar>
        </w:tblPrEx>
        <w:tc>
          <w:tcPr>
            <w:tcW w:w="567" w:type="dxa"/>
            <w:tcBorders>
              <w:top w:val="single" w:color="000000" w:sz="4" w:space="0"/>
              <w:left w:val="single" w:color="000000" w:sz="4" w:space="0"/>
              <w:bottom w:val="single" w:color="000000" w:sz="4" w:space="0"/>
              <w:right w:val="single" w:color="000000" w:sz="4" w:space="0"/>
            </w:tcBorders>
            <w:noWrap w:val="0"/>
            <w:vAlign w:val="center"/>
          </w:tcPr>
          <w:p w14:paraId="30392C14">
            <w:pPr>
              <w:autoSpaceDN w:val="0"/>
              <w:spacing w:line="360" w:lineRule="auto"/>
              <w:jc w:val="center"/>
              <w:rPr>
                <w:rFonts w:ascii="宋体" w:hAnsi="Calibri" w:cs="宋体"/>
                <w:color w:val="000000"/>
                <w:kern w:val="0"/>
                <w:sz w:val="22"/>
                <w:szCs w:val="20"/>
              </w:rPr>
            </w:pPr>
            <w:r>
              <w:rPr>
                <w:rFonts w:hint="eastAsia" w:ascii="宋体" w:hAnsi="Calibri" w:cs="宋体"/>
                <w:color w:val="000000"/>
                <w:kern w:val="0"/>
                <w:sz w:val="22"/>
                <w:szCs w:val="20"/>
              </w:rPr>
              <w:t>序号</w:t>
            </w:r>
          </w:p>
        </w:tc>
        <w:tc>
          <w:tcPr>
            <w:tcW w:w="1276" w:type="dxa"/>
            <w:tcBorders>
              <w:top w:val="single" w:color="000000" w:sz="4" w:space="0"/>
              <w:left w:val="nil"/>
              <w:bottom w:val="single" w:color="000000" w:sz="4" w:space="0"/>
              <w:right w:val="single" w:color="000000" w:sz="4" w:space="0"/>
            </w:tcBorders>
            <w:noWrap w:val="0"/>
            <w:vAlign w:val="center"/>
          </w:tcPr>
          <w:p w14:paraId="7C761A57">
            <w:pPr>
              <w:autoSpaceDN w:val="0"/>
              <w:spacing w:line="360" w:lineRule="auto"/>
              <w:jc w:val="center"/>
              <w:rPr>
                <w:rFonts w:ascii="宋体" w:hAnsi="Calibri" w:cs="宋体"/>
                <w:color w:val="000000"/>
                <w:kern w:val="0"/>
                <w:sz w:val="22"/>
                <w:szCs w:val="20"/>
              </w:rPr>
            </w:pPr>
            <w:r>
              <w:rPr>
                <w:rFonts w:hint="eastAsia" w:ascii="宋体" w:hAnsi="Calibri" w:cs="宋体"/>
                <w:color w:val="000000"/>
                <w:kern w:val="0"/>
                <w:sz w:val="22"/>
                <w:szCs w:val="20"/>
              </w:rPr>
              <w:t>楼宇</w:t>
            </w:r>
          </w:p>
        </w:tc>
        <w:tc>
          <w:tcPr>
            <w:tcW w:w="1276" w:type="dxa"/>
            <w:tcBorders>
              <w:top w:val="single" w:color="000000" w:sz="4" w:space="0"/>
              <w:left w:val="nil"/>
              <w:bottom w:val="single" w:color="000000" w:sz="4" w:space="0"/>
              <w:right w:val="single" w:color="000000" w:sz="4" w:space="0"/>
            </w:tcBorders>
            <w:noWrap w:val="0"/>
            <w:vAlign w:val="center"/>
          </w:tcPr>
          <w:p w14:paraId="70A88578">
            <w:pPr>
              <w:autoSpaceDN w:val="0"/>
              <w:spacing w:line="360" w:lineRule="auto"/>
              <w:jc w:val="center"/>
              <w:rPr>
                <w:rFonts w:ascii="宋体" w:hAnsi="Calibri" w:cs="宋体"/>
                <w:color w:val="000000"/>
                <w:kern w:val="0"/>
                <w:sz w:val="22"/>
                <w:szCs w:val="20"/>
              </w:rPr>
            </w:pPr>
            <w:r>
              <w:rPr>
                <w:rFonts w:hint="eastAsia" w:ascii="宋体" w:hAnsi="Calibri" w:cs="宋体"/>
                <w:color w:val="000000"/>
                <w:kern w:val="0"/>
                <w:sz w:val="22"/>
                <w:szCs w:val="20"/>
              </w:rPr>
              <w:t>面积（㎡）</w:t>
            </w:r>
          </w:p>
        </w:tc>
        <w:tc>
          <w:tcPr>
            <w:tcW w:w="6237" w:type="dxa"/>
            <w:tcBorders>
              <w:top w:val="single" w:color="000000" w:sz="4" w:space="0"/>
              <w:left w:val="nil"/>
              <w:bottom w:val="single" w:color="000000" w:sz="4" w:space="0"/>
              <w:right w:val="single" w:color="000000" w:sz="4" w:space="0"/>
            </w:tcBorders>
            <w:noWrap w:val="0"/>
            <w:vAlign w:val="center"/>
          </w:tcPr>
          <w:p w14:paraId="63081030">
            <w:pPr>
              <w:autoSpaceDN w:val="0"/>
              <w:spacing w:line="360" w:lineRule="auto"/>
              <w:jc w:val="center"/>
              <w:rPr>
                <w:rFonts w:ascii="宋体" w:hAnsi="Calibri" w:cs="宋体"/>
                <w:color w:val="000000"/>
                <w:kern w:val="0"/>
                <w:sz w:val="22"/>
                <w:szCs w:val="20"/>
              </w:rPr>
            </w:pPr>
            <w:r>
              <w:rPr>
                <w:rFonts w:hint="eastAsia" w:ascii="宋体" w:hAnsi="Calibri" w:cs="宋体"/>
                <w:color w:val="000000"/>
                <w:kern w:val="0"/>
                <w:sz w:val="22"/>
                <w:szCs w:val="20"/>
              </w:rPr>
              <w:t>服务范围</w:t>
            </w:r>
          </w:p>
        </w:tc>
      </w:tr>
      <w:tr w14:paraId="391E97A6">
        <w:tblPrEx>
          <w:tblCellMar>
            <w:top w:w="15" w:type="dxa"/>
            <w:left w:w="15" w:type="dxa"/>
            <w:bottom w:w="15" w:type="dxa"/>
            <w:right w:w="15" w:type="dxa"/>
          </w:tblCellMar>
        </w:tblPrEx>
        <w:trPr>
          <w:trHeight w:val="843" w:hRule="atLeast"/>
        </w:trPr>
        <w:tc>
          <w:tcPr>
            <w:tcW w:w="567" w:type="dxa"/>
            <w:tcBorders>
              <w:top w:val="single" w:color="000000" w:sz="4" w:space="0"/>
              <w:left w:val="single" w:color="000000" w:sz="4" w:space="0"/>
              <w:bottom w:val="single" w:color="000000" w:sz="4" w:space="0"/>
              <w:right w:val="single" w:color="000000" w:sz="4" w:space="0"/>
            </w:tcBorders>
            <w:noWrap w:val="0"/>
            <w:vAlign w:val="center"/>
          </w:tcPr>
          <w:p w14:paraId="7B1BC48C">
            <w:pPr>
              <w:autoSpaceDN w:val="0"/>
              <w:spacing w:line="240" w:lineRule="atLeast"/>
              <w:jc w:val="center"/>
              <w:rPr>
                <w:rFonts w:ascii="宋体" w:hAnsi="Calibri" w:cs="宋体"/>
                <w:color w:val="000000"/>
                <w:kern w:val="0"/>
                <w:szCs w:val="20"/>
              </w:rPr>
            </w:pPr>
            <w:r>
              <w:rPr>
                <w:rFonts w:ascii="宋体" w:hAnsi="Calibri" w:cs="宋体"/>
                <w:color w:val="000000"/>
                <w:kern w:val="0"/>
                <w:szCs w:val="20"/>
              </w:rPr>
              <w:t>1</w:t>
            </w:r>
          </w:p>
        </w:tc>
        <w:tc>
          <w:tcPr>
            <w:tcW w:w="1276" w:type="dxa"/>
            <w:tcBorders>
              <w:top w:val="single" w:color="000000" w:sz="4" w:space="0"/>
              <w:left w:val="nil"/>
              <w:bottom w:val="single" w:color="000000" w:sz="4" w:space="0"/>
              <w:right w:val="single" w:color="000000" w:sz="4" w:space="0"/>
            </w:tcBorders>
            <w:noWrap w:val="0"/>
            <w:vAlign w:val="center"/>
          </w:tcPr>
          <w:p w14:paraId="4C3D26B9">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厚德楼</w:t>
            </w:r>
          </w:p>
        </w:tc>
        <w:tc>
          <w:tcPr>
            <w:tcW w:w="1276" w:type="dxa"/>
            <w:tcBorders>
              <w:top w:val="single" w:color="000000" w:sz="4" w:space="0"/>
              <w:left w:val="nil"/>
              <w:bottom w:val="single" w:color="000000" w:sz="4" w:space="0"/>
              <w:right w:val="single" w:color="000000" w:sz="4" w:space="0"/>
            </w:tcBorders>
            <w:noWrap w:val="0"/>
            <w:vAlign w:val="center"/>
          </w:tcPr>
          <w:p w14:paraId="5432F7B4">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4300.66</w:t>
            </w:r>
          </w:p>
        </w:tc>
        <w:tc>
          <w:tcPr>
            <w:tcW w:w="6237" w:type="dxa"/>
            <w:tcBorders>
              <w:top w:val="single" w:color="000000" w:sz="4" w:space="0"/>
              <w:left w:val="nil"/>
              <w:bottom w:val="single" w:color="000000" w:sz="4" w:space="0"/>
              <w:right w:val="single" w:color="000000" w:sz="4" w:space="0"/>
            </w:tcBorders>
            <w:noWrap w:val="0"/>
            <w:vAlign w:val="center"/>
          </w:tcPr>
          <w:p w14:paraId="2E2FB1AA">
            <w:pPr>
              <w:autoSpaceDN w:val="0"/>
              <w:spacing w:line="240" w:lineRule="atLeast"/>
              <w:rPr>
                <w:rFonts w:ascii="宋体" w:hAnsi="Calibri" w:cs="宋体"/>
                <w:kern w:val="0"/>
                <w:szCs w:val="20"/>
              </w:rPr>
            </w:pPr>
            <w:r>
              <w:rPr>
                <w:rFonts w:hint="eastAsia" w:ascii="宋体" w:hAnsi="Calibri" w:cs="宋体"/>
                <w:kern w:val="0"/>
                <w:szCs w:val="20"/>
              </w:rPr>
              <w:t>普通（多媒体）教室20间；会议室3间；教师休息室1间；公共厕所12间；走廊、楼梯、室外平台等公共部位；局部空调。负责值班、安全巡查、消防、楼内保洁、小型维修。</w:t>
            </w:r>
          </w:p>
        </w:tc>
      </w:tr>
      <w:tr w14:paraId="4FC80A8D">
        <w:tblPrEx>
          <w:tblCellMar>
            <w:top w:w="15" w:type="dxa"/>
            <w:left w:w="15" w:type="dxa"/>
            <w:bottom w:w="15" w:type="dxa"/>
            <w:right w:w="15" w:type="dxa"/>
          </w:tblCellMar>
        </w:tblPrEx>
        <w:trPr>
          <w:trHeight w:val="799" w:hRule="atLeast"/>
        </w:trPr>
        <w:tc>
          <w:tcPr>
            <w:tcW w:w="567" w:type="dxa"/>
            <w:tcBorders>
              <w:top w:val="single" w:color="000000" w:sz="4" w:space="0"/>
              <w:left w:val="single" w:color="000000" w:sz="4" w:space="0"/>
              <w:bottom w:val="single" w:color="000000" w:sz="4" w:space="0"/>
              <w:right w:val="single" w:color="000000" w:sz="4" w:space="0"/>
            </w:tcBorders>
            <w:noWrap w:val="0"/>
            <w:vAlign w:val="center"/>
          </w:tcPr>
          <w:p w14:paraId="5CDE5275">
            <w:pPr>
              <w:autoSpaceDN w:val="0"/>
              <w:spacing w:line="240" w:lineRule="atLeast"/>
              <w:jc w:val="center"/>
              <w:rPr>
                <w:rFonts w:ascii="宋体" w:hAnsi="Calibri" w:cs="宋体"/>
                <w:color w:val="000000"/>
                <w:kern w:val="0"/>
                <w:szCs w:val="20"/>
              </w:rPr>
            </w:pPr>
            <w:r>
              <w:rPr>
                <w:rFonts w:ascii="宋体" w:hAnsi="Calibri" w:cs="宋体"/>
                <w:color w:val="000000"/>
                <w:kern w:val="0"/>
                <w:szCs w:val="20"/>
              </w:rPr>
              <w:t>2</w:t>
            </w:r>
          </w:p>
        </w:tc>
        <w:tc>
          <w:tcPr>
            <w:tcW w:w="1276" w:type="dxa"/>
            <w:tcBorders>
              <w:top w:val="single" w:color="000000" w:sz="4" w:space="0"/>
              <w:left w:val="nil"/>
              <w:bottom w:val="single" w:color="000000" w:sz="4" w:space="0"/>
              <w:right w:val="single" w:color="000000" w:sz="4" w:space="0"/>
            </w:tcBorders>
            <w:noWrap w:val="0"/>
            <w:vAlign w:val="center"/>
          </w:tcPr>
          <w:p w14:paraId="4B263508">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敦行楼</w:t>
            </w:r>
          </w:p>
        </w:tc>
        <w:tc>
          <w:tcPr>
            <w:tcW w:w="1276" w:type="dxa"/>
            <w:tcBorders>
              <w:top w:val="single" w:color="000000" w:sz="4" w:space="0"/>
              <w:left w:val="nil"/>
              <w:bottom w:val="single" w:color="000000" w:sz="4" w:space="0"/>
              <w:right w:val="single" w:color="000000" w:sz="4" w:space="0"/>
            </w:tcBorders>
            <w:noWrap w:val="0"/>
            <w:vAlign w:val="center"/>
          </w:tcPr>
          <w:p w14:paraId="03437315">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11023</w:t>
            </w:r>
          </w:p>
        </w:tc>
        <w:tc>
          <w:tcPr>
            <w:tcW w:w="6237" w:type="dxa"/>
            <w:tcBorders>
              <w:top w:val="single" w:color="000000" w:sz="4" w:space="0"/>
              <w:left w:val="nil"/>
              <w:bottom w:val="single" w:color="000000" w:sz="4" w:space="0"/>
              <w:right w:val="single" w:color="000000" w:sz="4" w:space="0"/>
            </w:tcBorders>
            <w:noWrap w:val="0"/>
            <w:vAlign w:val="center"/>
          </w:tcPr>
          <w:p w14:paraId="6F6D0ACA">
            <w:pPr>
              <w:autoSpaceDN w:val="0"/>
              <w:spacing w:line="240" w:lineRule="atLeast"/>
              <w:rPr>
                <w:rFonts w:ascii="宋体" w:hAnsi="Calibri" w:cs="宋体"/>
                <w:kern w:val="0"/>
                <w:szCs w:val="20"/>
              </w:rPr>
            </w:pPr>
            <w:r>
              <w:rPr>
                <w:rFonts w:hint="eastAsia" w:ascii="宋体" w:hAnsi="Calibri" w:cs="宋体"/>
                <w:kern w:val="0"/>
                <w:szCs w:val="20"/>
              </w:rPr>
              <w:t>普通（多媒体、实验室、绘图室等）教室48间；教师休息室2间；保安值班室1间；公共厕所18间；报告厅1个；走廊、楼梯、室外平台等部位；局部空调。负责值班、安全巡查、消防、楼内保洁、小型维修（包括不锈钢扶手）。</w:t>
            </w:r>
          </w:p>
        </w:tc>
      </w:tr>
      <w:tr w14:paraId="45959F95">
        <w:tblPrEx>
          <w:tblCellMar>
            <w:top w:w="15" w:type="dxa"/>
            <w:left w:w="15" w:type="dxa"/>
            <w:bottom w:w="15" w:type="dxa"/>
            <w:right w:w="15" w:type="dxa"/>
          </w:tblCellMar>
        </w:tblPrEx>
        <w:trPr>
          <w:trHeight w:val="953" w:hRule="atLeast"/>
        </w:trPr>
        <w:tc>
          <w:tcPr>
            <w:tcW w:w="567" w:type="dxa"/>
            <w:tcBorders>
              <w:top w:val="single" w:color="000000" w:sz="4" w:space="0"/>
              <w:left w:val="single" w:color="000000" w:sz="4" w:space="0"/>
              <w:bottom w:val="single" w:color="000000" w:sz="4" w:space="0"/>
              <w:right w:val="single" w:color="000000" w:sz="4" w:space="0"/>
            </w:tcBorders>
            <w:noWrap w:val="0"/>
            <w:vAlign w:val="center"/>
          </w:tcPr>
          <w:p w14:paraId="081F57E5">
            <w:pPr>
              <w:autoSpaceDN w:val="0"/>
              <w:spacing w:line="240" w:lineRule="atLeast"/>
              <w:jc w:val="center"/>
              <w:rPr>
                <w:rFonts w:ascii="宋体" w:hAnsi="Calibri" w:cs="宋体"/>
                <w:color w:val="000000"/>
                <w:kern w:val="0"/>
                <w:szCs w:val="20"/>
              </w:rPr>
            </w:pPr>
            <w:r>
              <w:rPr>
                <w:rFonts w:ascii="宋体" w:hAnsi="Calibri" w:cs="宋体"/>
                <w:color w:val="000000"/>
                <w:kern w:val="0"/>
                <w:szCs w:val="20"/>
              </w:rPr>
              <w:t>3</w:t>
            </w:r>
          </w:p>
        </w:tc>
        <w:tc>
          <w:tcPr>
            <w:tcW w:w="1276" w:type="dxa"/>
            <w:tcBorders>
              <w:top w:val="single" w:color="000000" w:sz="4" w:space="0"/>
              <w:left w:val="nil"/>
              <w:bottom w:val="single" w:color="000000" w:sz="4" w:space="0"/>
              <w:right w:val="single" w:color="000000" w:sz="4" w:space="0"/>
            </w:tcBorders>
            <w:noWrap w:val="0"/>
            <w:vAlign w:val="center"/>
          </w:tcPr>
          <w:p w14:paraId="565D46E6">
            <w:pPr>
              <w:autoSpaceDN w:val="0"/>
              <w:spacing w:line="240" w:lineRule="atLeast"/>
              <w:jc w:val="center"/>
              <w:rPr>
                <w:rFonts w:hint="eastAsia" w:ascii="宋体" w:hAnsi="Calibri" w:cs="宋体"/>
                <w:color w:val="000000"/>
                <w:kern w:val="0"/>
                <w:szCs w:val="20"/>
              </w:rPr>
            </w:pPr>
            <w:r>
              <w:rPr>
                <w:rFonts w:hint="eastAsia" w:ascii="宋体" w:hAnsi="Calibri" w:cs="宋体"/>
                <w:color w:val="000000"/>
                <w:kern w:val="0"/>
                <w:szCs w:val="20"/>
              </w:rPr>
              <w:t>藏修楼</w:t>
            </w:r>
          </w:p>
          <w:p w14:paraId="2BB8CE2A">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（教学）</w:t>
            </w:r>
          </w:p>
        </w:tc>
        <w:tc>
          <w:tcPr>
            <w:tcW w:w="1276" w:type="dxa"/>
            <w:tcBorders>
              <w:top w:val="single" w:color="000000" w:sz="4" w:space="0"/>
              <w:left w:val="nil"/>
              <w:bottom w:val="single" w:color="000000" w:sz="4" w:space="0"/>
              <w:right w:val="single" w:color="000000" w:sz="4" w:space="0"/>
            </w:tcBorders>
            <w:noWrap w:val="0"/>
            <w:vAlign w:val="center"/>
          </w:tcPr>
          <w:p w14:paraId="1683A812">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2545.77</w:t>
            </w:r>
          </w:p>
        </w:tc>
        <w:tc>
          <w:tcPr>
            <w:tcW w:w="6237" w:type="dxa"/>
            <w:tcBorders>
              <w:top w:val="single" w:color="000000" w:sz="4" w:space="0"/>
              <w:left w:val="nil"/>
              <w:bottom w:val="single" w:color="000000" w:sz="4" w:space="0"/>
              <w:right w:val="single" w:color="000000" w:sz="4" w:space="0"/>
            </w:tcBorders>
            <w:noWrap w:val="0"/>
            <w:vAlign w:val="center"/>
          </w:tcPr>
          <w:p w14:paraId="6889B9F6">
            <w:pPr>
              <w:autoSpaceDN w:val="0"/>
              <w:spacing w:line="240" w:lineRule="atLeast"/>
              <w:rPr>
                <w:rFonts w:ascii="宋体" w:hAnsi="Calibri" w:cs="宋体"/>
                <w:kern w:val="0"/>
                <w:szCs w:val="20"/>
              </w:rPr>
            </w:pPr>
            <w:r>
              <w:rPr>
                <w:rFonts w:hint="eastAsia" w:ascii="宋体" w:hAnsi="Calibri" w:cs="宋体"/>
                <w:kern w:val="0"/>
                <w:szCs w:val="20"/>
              </w:rPr>
              <w:t>普通（多媒体）教室17间；考研教室2间；教师休息室1间；公共厕所4间；走廊、楼梯、室外平台等部位；局部空调。负责值班、安全巡查、消防、楼内保洁、小型维修。</w:t>
            </w:r>
          </w:p>
        </w:tc>
      </w:tr>
      <w:tr w14:paraId="5ED3E62A">
        <w:tblPrEx>
          <w:tblCellMar>
            <w:top w:w="15" w:type="dxa"/>
            <w:left w:w="15" w:type="dxa"/>
            <w:bottom w:w="15" w:type="dxa"/>
            <w:right w:w="15" w:type="dxa"/>
          </w:tblCellMar>
        </w:tblPrEx>
        <w:trPr>
          <w:trHeight w:val="811" w:hRule="atLeast"/>
        </w:trPr>
        <w:tc>
          <w:tcPr>
            <w:tcW w:w="567" w:type="dxa"/>
            <w:tcBorders>
              <w:top w:val="single" w:color="000000" w:sz="4" w:space="0"/>
              <w:left w:val="single" w:color="000000" w:sz="4" w:space="0"/>
              <w:bottom w:val="single" w:color="000000" w:sz="4" w:space="0"/>
              <w:right w:val="single" w:color="000000" w:sz="4" w:space="0"/>
            </w:tcBorders>
            <w:noWrap w:val="0"/>
            <w:vAlign w:val="center"/>
          </w:tcPr>
          <w:p w14:paraId="11256943">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4</w:t>
            </w:r>
          </w:p>
        </w:tc>
        <w:tc>
          <w:tcPr>
            <w:tcW w:w="1276" w:type="dxa"/>
            <w:tcBorders>
              <w:top w:val="single" w:color="000000" w:sz="4" w:space="0"/>
              <w:left w:val="nil"/>
              <w:bottom w:val="single" w:color="000000" w:sz="4" w:space="0"/>
              <w:right w:val="single" w:color="000000" w:sz="4" w:space="0"/>
            </w:tcBorders>
            <w:noWrap w:val="0"/>
            <w:vAlign w:val="center"/>
          </w:tcPr>
          <w:p w14:paraId="0AA47DB3">
            <w:pPr>
              <w:autoSpaceDN w:val="0"/>
              <w:spacing w:line="240" w:lineRule="atLeast"/>
              <w:jc w:val="center"/>
              <w:rPr>
                <w:rFonts w:hint="eastAsia" w:ascii="宋体" w:hAnsi="Calibri" w:cs="宋体"/>
                <w:color w:val="000000"/>
                <w:kern w:val="0"/>
                <w:szCs w:val="20"/>
              </w:rPr>
            </w:pPr>
            <w:r>
              <w:rPr>
                <w:rFonts w:hint="eastAsia" w:ascii="宋体" w:hAnsi="Calibri" w:cs="宋体"/>
                <w:color w:val="000000"/>
                <w:kern w:val="0"/>
                <w:szCs w:val="20"/>
              </w:rPr>
              <w:t>藏修楼</w:t>
            </w:r>
          </w:p>
          <w:p w14:paraId="45D4F1AD">
            <w:pPr>
              <w:autoSpaceDN w:val="0"/>
              <w:spacing w:line="240" w:lineRule="atLeast"/>
              <w:jc w:val="center"/>
              <w:rPr>
                <w:rFonts w:hint="eastAsia" w:ascii="宋体" w:hAnsi="Calibri" w:cs="宋体"/>
                <w:color w:val="000000"/>
                <w:kern w:val="0"/>
                <w:szCs w:val="20"/>
              </w:rPr>
            </w:pPr>
            <w:r>
              <w:rPr>
                <w:rFonts w:hint="eastAsia" w:ascii="宋体" w:hAnsi="Calibri" w:cs="宋体"/>
                <w:color w:val="000000"/>
                <w:kern w:val="0"/>
                <w:szCs w:val="20"/>
              </w:rPr>
              <w:t>（图书馆）</w:t>
            </w:r>
          </w:p>
        </w:tc>
        <w:tc>
          <w:tcPr>
            <w:tcW w:w="1276" w:type="dxa"/>
            <w:tcBorders>
              <w:top w:val="single" w:color="000000" w:sz="4" w:space="0"/>
              <w:left w:val="nil"/>
              <w:bottom w:val="single" w:color="000000" w:sz="4" w:space="0"/>
              <w:right w:val="single" w:color="000000" w:sz="4" w:space="0"/>
            </w:tcBorders>
            <w:noWrap w:val="0"/>
            <w:vAlign w:val="center"/>
          </w:tcPr>
          <w:p w14:paraId="0C248D2C">
            <w:pPr>
              <w:autoSpaceDN w:val="0"/>
              <w:spacing w:line="240" w:lineRule="atLeast"/>
              <w:jc w:val="center"/>
              <w:rPr>
                <w:rFonts w:hint="eastAsia" w:ascii="宋体" w:hAnsi="Calibri" w:cs="宋体"/>
                <w:color w:val="000000"/>
                <w:kern w:val="0"/>
                <w:szCs w:val="20"/>
              </w:rPr>
            </w:pPr>
            <w:r>
              <w:rPr>
                <w:rFonts w:hint="eastAsia" w:ascii="宋体" w:hAnsi="Calibri" w:cs="宋体"/>
                <w:color w:val="000000"/>
                <w:kern w:val="0"/>
                <w:szCs w:val="20"/>
              </w:rPr>
              <w:t>4597</w:t>
            </w:r>
          </w:p>
        </w:tc>
        <w:tc>
          <w:tcPr>
            <w:tcW w:w="6237" w:type="dxa"/>
            <w:tcBorders>
              <w:top w:val="single" w:color="000000" w:sz="4" w:space="0"/>
              <w:left w:val="nil"/>
              <w:bottom w:val="single" w:color="000000" w:sz="4" w:space="0"/>
              <w:right w:val="single" w:color="000000" w:sz="4" w:space="0"/>
            </w:tcBorders>
            <w:noWrap w:val="0"/>
            <w:vAlign w:val="center"/>
          </w:tcPr>
          <w:p w14:paraId="229B771B">
            <w:pPr>
              <w:autoSpaceDN w:val="0"/>
              <w:spacing w:line="240" w:lineRule="atLeast"/>
              <w:rPr>
                <w:rFonts w:hint="eastAsia" w:ascii="宋体" w:hAnsi="Calibri" w:cs="宋体"/>
                <w:kern w:val="0"/>
                <w:szCs w:val="20"/>
              </w:rPr>
            </w:pPr>
            <w:r>
              <w:rPr>
                <w:rFonts w:hint="eastAsia" w:ascii="宋体" w:hAnsi="Calibri" w:cs="宋体"/>
                <w:kern w:val="0"/>
                <w:szCs w:val="20"/>
              </w:rPr>
              <w:t>考研教室、书库共3间；阅览室3间；报告厅1间；公共厕所8间；走廊、楼梯、室外平台等部位；局部空调。负责值班、安全巡查、消防、楼内保洁、小型维修。</w:t>
            </w:r>
          </w:p>
        </w:tc>
      </w:tr>
      <w:tr w14:paraId="11425961">
        <w:tblPrEx>
          <w:tblCellMar>
            <w:top w:w="15" w:type="dxa"/>
            <w:left w:w="15" w:type="dxa"/>
            <w:bottom w:w="15" w:type="dxa"/>
            <w:right w:w="15" w:type="dxa"/>
          </w:tblCellMar>
        </w:tblPrEx>
        <w:trPr>
          <w:trHeight w:val="809" w:hRule="atLeast"/>
        </w:trPr>
        <w:tc>
          <w:tcPr>
            <w:tcW w:w="567" w:type="dxa"/>
            <w:tcBorders>
              <w:top w:val="single" w:color="000000" w:sz="4" w:space="0"/>
              <w:left w:val="single" w:color="000000" w:sz="4" w:space="0"/>
              <w:bottom w:val="single" w:color="000000" w:sz="4" w:space="0"/>
              <w:right w:val="single" w:color="000000" w:sz="4" w:space="0"/>
            </w:tcBorders>
            <w:noWrap w:val="0"/>
            <w:vAlign w:val="center"/>
          </w:tcPr>
          <w:p w14:paraId="2AB563D1">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5</w:t>
            </w:r>
          </w:p>
        </w:tc>
        <w:tc>
          <w:tcPr>
            <w:tcW w:w="1276" w:type="dxa"/>
            <w:tcBorders>
              <w:top w:val="single" w:color="000000" w:sz="4" w:space="0"/>
              <w:left w:val="nil"/>
              <w:bottom w:val="single" w:color="000000" w:sz="4" w:space="0"/>
              <w:right w:val="single" w:color="000000" w:sz="4" w:space="0"/>
            </w:tcBorders>
            <w:noWrap w:val="0"/>
            <w:vAlign w:val="center"/>
          </w:tcPr>
          <w:p w14:paraId="0E724806">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玉成楼</w:t>
            </w:r>
          </w:p>
        </w:tc>
        <w:tc>
          <w:tcPr>
            <w:tcW w:w="1276" w:type="dxa"/>
            <w:tcBorders>
              <w:top w:val="single" w:color="000000" w:sz="4" w:space="0"/>
              <w:left w:val="nil"/>
              <w:bottom w:val="single" w:color="000000" w:sz="4" w:space="0"/>
              <w:right w:val="single" w:color="000000" w:sz="4" w:space="0"/>
            </w:tcBorders>
            <w:noWrap w:val="0"/>
            <w:vAlign w:val="center"/>
          </w:tcPr>
          <w:p w14:paraId="53790FD8">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3865</w:t>
            </w:r>
          </w:p>
        </w:tc>
        <w:tc>
          <w:tcPr>
            <w:tcW w:w="6237" w:type="dxa"/>
            <w:tcBorders>
              <w:top w:val="single" w:color="000000" w:sz="4" w:space="0"/>
              <w:left w:val="nil"/>
              <w:bottom w:val="single" w:color="000000" w:sz="4" w:space="0"/>
              <w:right w:val="single" w:color="000000" w:sz="4" w:space="0"/>
            </w:tcBorders>
            <w:noWrap w:val="0"/>
            <w:vAlign w:val="center"/>
          </w:tcPr>
          <w:p w14:paraId="1718A00A">
            <w:pPr>
              <w:autoSpaceDN w:val="0"/>
              <w:spacing w:line="240" w:lineRule="atLeast"/>
              <w:rPr>
                <w:rFonts w:ascii="宋体" w:hAnsi="Calibri" w:cs="宋体"/>
                <w:kern w:val="0"/>
                <w:szCs w:val="20"/>
              </w:rPr>
            </w:pPr>
            <w:r>
              <w:rPr>
                <w:rFonts w:hint="eastAsia" w:ascii="宋体" w:hAnsi="Calibri" w:cs="宋体"/>
                <w:kern w:val="0"/>
                <w:szCs w:val="20"/>
              </w:rPr>
              <w:t>普通（多媒体、实验室等）教室26间；公共厕所8间；走廊、楼梯、室外平台等部位；局部空调。负责值班、安全巡查、消防、楼内保洁、小型维修。</w:t>
            </w:r>
          </w:p>
        </w:tc>
      </w:tr>
      <w:tr w14:paraId="1C6DE5ED">
        <w:tblPrEx>
          <w:tblCellMar>
            <w:top w:w="15" w:type="dxa"/>
            <w:left w:w="15" w:type="dxa"/>
            <w:bottom w:w="15" w:type="dxa"/>
            <w:right w:w="15" w:type="dxa"/>
          </w:tblCellMar>
        </w:tblPrEx>
        <w:trPr>
          <w:trHeight w:val="821" w:hRule="atLeast"/>
        </w:trPr>
        <w:tc>
          <w:tcPr>
            <w:tcW w:w="567" w:type="dxa"/>
            <w:tcBorders>
              <w:top w:val="single" w:color="000000" w:sz="4" w:space="0"/>
              <w:left w:val="single" w:color="000000" w:sz="4" w:space="0"/>
              <w:bottom w:val="single" w:color="000000" w:sz="4" w:space="0"/>
              <w:right w:val="single" w:color="000000" w:sz="4" w:space="0"/>
            </w:tcBorders>
            <w:noWrap w:val="0"/>
            <w:vAlign w:val="center"/>
          </w:tcPr>
          <w:p w14:paraId="5E199C9E">
            <w:pPr>
              <w:autoSpaceDN w:val="0"/>
              <w:spacing w:line="240" w:lineRule="atLeast"/>
              <w:jc w:val="center"/>
              <w:rPr>
                <w:rFonts w:ascii="宋体" w:hAnsi="Calibri" w:cs="宋体"/>
                <w:color w:val="000000"/>
                <w:kern w:val="0"/>
                <w:szCs w:val="20"/>
              </w:rPr>
            </w:pPr>
            <w:r>
              <w:rPr>
                <w:rFonts w:ascii="宋体" w:hAnsi="Calibri" w:cs="宋体"/>
                <w:color w:val="000000"/>
                <w:kern w:val="0"/>
                <w:szCs w:val="20"/>
              </w:rPr>
              <w:t>6</w:t>
            </w:r>
          </w:p>
        </w:tc>
        <w:tc>
          <w:tcPr>
            <w:tcW w:w="1276" w:type="dxa"/>
            <w:tcBorders>
              <w:top w:val="single" w:color="000000" w:sz="4" w:space="0"/>
              <w:left w:val="nil"/>
              <w:bottom w:val="single" w:color="000000" w:sz="4" w:space="0"/>
              <w:right w:val="single" w:color="000000" w:sz="4" w:space="0"/>
            </w:tcBorders>
            <w:noWrap w:val="0"/>
            <w:vAlign w:val="center"/>
          </w:tcPr>
          <w:p w14:paraId="321B3498">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行政楼</w:t>
            </w:r>
          </w:p>
        </w:tc>
        <w:tc>
          <w:tcPr>
            <w:tcW w:w="1276" w:type="dxa"/>
            <w:tcBorders>
              <w:top w:val="single" w:color="000000" w:sz="4" w:space="0"/>
              <w:left w:val="nil"/>
              <w:bottom w:val="single" w:color="000000" w:sz="4" w:space="0"/>
              <w:right w:val="single" w:color="000000" w:sz="4" w:space="0"/>
            </w:tcBorders>
            <w:noWrap w:val="0"/>
            <w:vAlign w:val="center"/>
          </w:tcPr>
          <w:p w14:paraId="21A50D28">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1674</w:t>
            </w:r>
          </w:p>
        </w:tc>
        <w:tc>
          <w:tcPr>
            <w:tcW w:w="6237" w:type="dxa"/>
            <w:tcBorders>
              <w:top w:val="single" w:color="000000" w:sz="4" w:space="0"/>
              <w:left w:val="nil"/>
              <w:bottom w:val="single" w:color="000000" w:sz="4" w:space="0"/>
              <w:right w:val="single" w:color="000000" w:sz="4" w:space="0"/>
            </w:tcBorders>
            <w:noWrap w:val="0"/>
            <w:vAlign w:val="center"/>
          </w:tcPr>
          <w:p w14:paraId="0EC102BB">
            <w:pPr>
              <w:autoSpaceDN w:val="0"/>
              <w:spacing w:line="240" w:lineRule="atLeast"/>
              <w:rPr>
                <w:rFonts w:ascii="宋体" w:hAnsi="Calibri" w:cs="宋体"/>
                <w:kern w:val="0"/>
                <w:szCs w:val="20"/>
              </w:rPr>
            </w:pPr>
            <w:r>
              <w:rPr>
                <w:rFonts w:hint="eastAsia" w:ascii="宋体" w:hAnsi="Calibri" w:cs="宋体"/>
                <w:kern w:val="0"/>
                <w:szCs w:val="20"/>
              </w:rPr>
              <w:t>会议室2间，值班室1间，公共厕所3间；走廊、楼梯、室外平台等公共部位；局部空调。负责值班、安全巡查、消防、楼内保洁、小型维修。</w:t>
            </w:r>
          </w:p>
        </w:tc>
      </w:tr>
      <w:tr w14:paraId="2075F7F5">
        <w:tblPrEx>
          <w:tblCellMar>
            <w:top w:w="15" w:type="dxa"/>
            <w:left w:w="15" w:type="dxa"/>
            <w:bottom w:w="15" w:type="dxa"/>
            <w:right w:w="15" w:type="dxa"/>
          </w:tblCellMar>
        </w:tblPrEx>
        <w:trPr>
          <w:trHeight w:val="805" w:hRule="atLeast"/>
        </w:trPr>
        <w:tc>
          <w:tcPr>
            <w:tcW w:w="567" w:type="dxa"/>
            <w:tcBorders>
              <w:top w:val="single" w:color="000000" w:sz="4" w:space="0"/>
              <w:left w:val="single" w:color="000000" w:sz="4" w:space="0"/>
              <w:bottom w:val="single" w:color="000000" w:sz="4" w:space="0"/>
              <w:right w:val="single" w:color="000000" w:sz="4" w:space="0"/>
            </w:tcBorders>
            <w:noWrap w:val="0"/>
            <w:vAlign w:val="center"/>
          </w:tcPr>
          <w:p w14:paraId="2735E63B">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7</w:t>
            </w:r>
          </w:p>
        </w:tc>
        <w:tc>
          <w:tcPr>
            <w:tcW w:w="1276" w:type="dxa"/>
            <w:tcBorders>
              <w:top w:val="single" w:color="000000" w:sz="4" w:space="0"/>
              <w:left w:val="nil"/>
              <w:bottom w:val="single" w:color="000000" w:sz="4" w:space="0"/>
              <w:right w:val="single" w:color="000000" w:sz="4" w:space="0"/>
            </w:tcBorders>
            <w:noWrap w:val="0"/>
            <w:vAlign w:val="center"/>
          </w:tcPr>
          <w:p w14:paraId="2644DD80">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行健馆、大学生活动中心</w:t>
            </w:r>
          </w:p>
        </w:tc>
        <w:tc>
          <w:tcPr>
            <w:tcW w:w="1276" w:type="dxa"/>
            <w:tcBorders>
              <w:top w:val="single" w:color="000000" w:sz="4" w:space="0"/>
              <w:left w:val="nil"/>
              <w:bottom w:val="single" w:color="000000" w:sz="4" w:space="0"/>
              <w:right w:val="single" w:color="000000" w:sz="4" w:space="0"/>
            </w:tcBorders>
            <w:noWrap w:val="0"/>
            <w:vAlign w:val="center"/>
          </w:tcPr>
          <w:p w14:paraId="2F6E3B94">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2296.38</w:t>
            </w:r>
          </w:p>
        </w:tc>
        <w:tc>
          <w:tcPr>
            <w:tcW w:w="6237" w:type="dxa"/>
            <w:tcBorders>
              <w:top w:val="single" w:color="000000" w:sz="4" w:space="0"/>
              <w:left w:val="nil"/>
              <w:bottom w:val="single" w:color="000000" w:sz="4" w:space="0"/>
              <w:right w:val="single" w:color="000000" w:sz="4" w:space="0"/>
            </w:tcBorders>
            <w:noWrap w:val="0"/>
            <w:vAlign w:val="center"/>
          </w:tcPr>
          <w:p w14:paraId="4607FB1E">
            <w:pPr>
              <w:autoSpaceDN w:val="0"/>
              <w:spacing w:line="240" w:lineRule="atLeast"/>
              <w:rPr>
                <w:rFonts w:ascii="宋体" w:hAnsi="Calibri" w:cs="宋体"/>
                <w:color w:val="000000"/>
                <w:kern w:val="0"/>
                <w:szCs w:val="20"/>
              </w:rPr>
            </w:pPr>
            <w:r>
              <w:rPr>
                <w:rFonts w:hint="eastAsia" w:ascii="宋体" w:hAnsi="Calibri" w:cs="宋体"/>
                <w:color w:val="000000"/>
                <w:kern w:val="0"/>
                <w:szCs w:val="20"/>
              </w:rPr>
              <w:t>负责值班、安全巡查、消防、楼内保洁、小型维修。</w:t>
            </w:r>
          </w:p>
        </w:tc>
      </w:tr>
      <w:tr w14:paraId="0F11CF60">
        <w:tblPrEx>
          <w:tblCellMar>
            <w:top w:w="15" w:type="dxa"/>
            <w:left w:w="15" w:type="dxa"/>
            <w:bottom w:w="15" w:type="dxa"/>
            <w:right w:w="15" w:type="dxa"/>
          </w:tblCellMar>
        </w:tblPrEx>
        <w:trPr>
          <w:trHeight w:val="535" w:hRule="atLeast"/>
        </w:trPr>
        <w:tc>
          <w:tcPr>
            <w:tcW w:w="567" w:type="dxa"/>
            <w:tcBorders>
              <w:top w:val="single" w:color="000000" w:sz="4" w:space="0"/>
              <w:left w:val="single" w:color="000000" w:sz="4" w:space="0"/>
              <w:bottom w:val="single" w:color="000000" w:sz="4" w:space="0"/>
              <w:right w:val="single" w:color="000000" w:sz="4" w:space="0"/>
            </w:tcBorders>
            <w:noWrap w:val="0"/>
            <w:vAlign w:val="center"/>
          </w:tcPr>
          <w:p w14:paraId="3609541A">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8</w:t>
            </w:r>
          </w:p>
        </w:tc>
        <w:tc>
          <w:tcPr>
            <w:tcW w:w="1276" w:type="dxa"/>
            <w:tcBorders>
              <w:top w:val="single" w:color="000000" w:sz="4" w:space="0"/>
              <w:left w:val="nil"/>
              <w:bottom w:val="single" w:color="000000" w:sz="4" w:space="0"/>
              <w:right w:val="single" w:color="000000" w:sz="4" w:space="0"/>
            </w:tcBorders>
            <w:noWrap w:val="0"/>
            <w:vAlign w:val="center"/>
          </w:tcPr>
          <w:p w14:paraId="20DC62E6">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其它</w:t>
            </w:r>
          </w:p>
        </w:tc>
        <w:tc>
          <w:tcPr>
            <w:tcW w:w="1276" w:type="dxa"/>
            <w:tcBorders>
              <w:top w:val="single" w:color="000000" w:sz="4" w:space="0"/>
              <w:left w:val="nil"/>
              <w:bottom w:val="single" w:color="000000" w:sz="4" w:space="0"/>
              <w:right w:val="single" w:color="000000" w:sz="4" w:space="0"/>
            </w:tcBorders>
            <w:noWrap w:val="0"/>
            <w:vAlign w:val="center"/>
          </w:tcPr>
          <w:p w14:paraId="0CEEC2CF">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1133.96</w:t>
            </w:r>
          </w:p>
        </w:tc>
        <w:tc>
          <w:tcPr>
            <w:tcW w:w="6237" w:type="dxa"/>
            <w:tcBorders>
              <w:top w:val="single" w:color="000000" w:sz="4" w:space="0"/>
              <w:left w:val="nil"/>
              <w:bottom w:val="single" w:color="000000" w:sz="4" w:space="0"/>
              <w:right w:val="single" w:color="000000" w:sz="4" w:space="0"/>
            </w:tcBorders>
            <w:noWrap w:val="0"/>
            <w:vAlign w:val="center"/>
          </w:tcPr>
          <w:p w14:paraId="375FB5C7">
            <w:pPr>
              <w:autoSpaceDN w:val="0"/>
              <w:spacing w:line="240" w:lineRule="atLeast"/>
              <w:rPr>
                <w:rFonts w:ascii="宋体" w:hAnsi="Calibri" w:cs="宋体"/>
                <w:color w:val="000000"/>
                <w:kern w:val="0"/>
                <w:szCs w:val="20"/>
              </w:rPr>
            </w:pPr>
            <w:r>
              <w:rPr>
                <w:rFonts w:hint="eastAsia" w:ascii="宋体" w:hAnsi="Calibri" w:cs="宋体"/>
                <w:color w:val="000000"/>
                <w:kern w:val="0"/>
                <w:szCs w:val="20"/>
              </w:rPr>
              <w:t>负责正门传达室、新旧高压配电房、泵房、库房等小型维修；</w:t>
            </w:r>
          </w:p>
        </w:tc>
      </w:tr>
      <w:tr w14:paraId="21DC59C7">
        <w:tblPrEx>
          <w:tblCellMar>
            <w:top w:w="15" w:type="dxa"/>
            <w:left w:w="15" w:type="dxa"/>
            <w:bottom w:w="15" w:type="dxa"/>
            <w:right w:w="15" w:type="dxa"/>
          </w:tblCellMar>
        </w:tblPrEx>
        <w:trPr>
          <w:trHeight w:val="673" w:hRule="atLeast"/>
        </w:trPr>
        <w:tc>
          <w:tcPr>
            <w:tcW w:w="9356" w:type="dxa"/>
            <w:gridSpan w:val="4"/>
            <w:tcBorders>
              <w:top w:val="single" w:color="000000" w:sz="4" w:space="0"/>
              <w:left w:val="single" w:color="000000" w:sz="4" w:space="0"/>
              <w:bottom w:val="single" w:color="000000" w:sz="4" w:space="0"/>
              <w:right w:val="single" w:color="000000" w:sz="4" w:space="0"/>
            </w:tcBorders>
            <w:noWrap w:val="0"/>
            <w:vAlign w:val="center"/>
          </w:tcPr>
          <w:p w14:paraId="7C0898DD">
            <w:pPr>
              <w:autoSpaceDE w:val="0"/>
              <w:autoSpaceDN w:val="0"/>
              <w:adjustRightInd w:val="0"/>
              <w:spacing w:line="320" w:lineRule="exact"/>
              <w:rPr>
                <w:rFonts w:hint="eastAsia" w:ascii="宋体" w:hAnsi="Calibri" w:cs="宋体"/>
                <w:color w:val="000000"/>
                <w:kern w:val="0"/>
                <w:szCs w:val="20"/>
              </w:rPr>
            </w:pPr>
            <w:r>
              <w:rPr>
                <w:rFonts w:hint="eastAsia" w:ascii="宋体" w:hAnsi="Calibri" w:cs="宋体"/>
                <w:color w:val="000000"/>
                <w:kern w:val="0"/>
                <w:szCs w:val="20"/>
              </w:rPr>
              <w:t>注：</w:t>
            </w:r>
          </w:p>
          <w:p w14:paraId="79EF4B51">
            <w:pPr>
              <w:autoSpaceDE w:val="0"/>
              <w:autoSpaceDN w:val="0"/>
              <w:adjustRightInd w:val="0"/>
              <w:spacing w:line="320" w:lineRule="exact"/>
              <w:rPr>
                <w:sz w:val="20"/>
                <w:szCs w:val="20"/>
              </w:rPr>
            </w:pPr>
            <w:r>
              <w:rPr>
                <w:sz w:val="20"/>
                <w:szCs w:val="20"/>
              </w:rPr>
              <w:t>1.负责托管区域所有楼宇的屋面清理工作；</w:t>
            </w:r>
          </w:p>
          <w:p w14:paraId="784F70AA">
            <w:pPr>
              <w:autoSpaceDE w:val="0"/>
              <w:autoSpaceDN w:val="0"/>
              <w:adjustRightInd w:val="0"/>
              <w:spacing w:line="320" w:lineRule="exact"/>
              <w:rPr>
                <w:sz w:val="20"/>
                <w:szCs w:val="20"/>
              </w:rPr>
            </w:pPr>
            <w:r>
              <w:rPr>
                <w:sz w:val="20"/>
                <w:szCs w:val="20"/>
              </w:rPr>
              <w:t>2.负责托管楼宇周边车棚及非机动车停车区域的卫生保洁、非机动车辆的摆放</w:t>
            </w:r>
            <w:r>
              <w:rPr>
                <w:rFonts w:hint="eastAsia"/>
                <w:sz w:val="20"/>
                <w:szCs w:val="20"/>
              </w:rPr>
              <w:t>。</w:t>
            </w:r>
          </w:p>
          <w:p w14:paraId="007B577E">
            <w:pPr>
              <w:autoSpaceDE w:val="0"/>
              <w:autoSpaceDN w:val="0"/>
              <w:adjustRightInd w:val="0"/>
              <w:spacing w:line="320" w:lineRule="exact"/>
              <w:rPr>
                <w:rFonts w:hint="eastAsia" w:ascii="宋体" w:hAnsi="Calibri" w:cs="宋体"/>
                <w:color w:val="000000"/>
                <w:kern w:val="0"/>
                <w:szCs w:val="20"/>
              </w:rPr>
            </w:pPr>
            <w:r>
              <w:rPr>
                <w:rFonts w:hint="eastAsia"/>
                <w:sz w:val="20"/>
                <w:szCs w:val="20"/>
              </w:rPr>
              <w:t>3.负责楼宇及周边环境的消杀，灭“四害”。</w:t>
            </w:r>
            <w:r>
              <w:rPr>
                <w:sz w:val="20"/>
                <w:szCs w:val="20"/>
              </w:rPr>
              <w:t>托管楼宇下水道、化粪池的疏通清</w:t>
            </w:r>
            <w:r>
              <w:rPr>
                <w:rFonts w:hint="eastAsia"/>
                <w:sz w:val="20"/>
                <w:szCs w:val="20"/>
              </w:rPr>
              <w:t>掏</w:t>
            </w:r>
            <w:r>
              <w:rPr>
                <w:sz w:val="20"/>
                <w:szCs w:val="20"/>
              </w:rPr>
              <w:t>等。</w:t>
            </w:r>
          </w:p>
        </w:tc>
      </w:tr>
    </w:tbl>
    <w:p w14:paraId="765E415B">
      <w:pPr>
        <w:widowControl/>
        <w:spacing w:line="360" w:lineRule="auto"/>
        <w:ind w:firstLine="480" w:firstLineChars="200"/>
        <w:rPr>
          <w:rFonts w:ascii="宋体" w:hAnsi="宋体"/>
          <w:bCs/>
          <w:sz w:val="24"/>
          <w:szCs w:val="21"/>
        </w:rPr>
      </w:pPr>
      <w:r>
        <w:rPr>
          <w:rFonts w:hint="eastAsia" w:ascii="宋体" w:hAnsi="宋体"/>
          <w:bCs/>
          <w:sz w:val="24"/>
          <w:szCs w:val="21"/>
        </w:rPr>
        <w:t>（三）绿化、保洁及其它主要服务范围</w:t>
      </w:r>
    </w:p>
    <w:tbl>
      <w:tblPr>
        <w:tblStyle w:val="8"/>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1418"/>
        <w:gridCol w:w="1417"/>
        <w:gridCol w:w="5812"/>
      </w:tblGrid>
      <w:tr w14:paraId="46890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14:paraId="485C150E">
            <w:pPr>
              <w:autoSpaceDN w:val="0"/>
              <w:spacing w:line="360" w:lineRule="auto"/>
              <w:jc w:val="center"/>
              <w:rPr>
                <w:rFonts w:ascii="宋体" w:hAnsi="Calibri" w:cs="宋体"/>
                <w:kern w:val="0"/>
                <w:sz w:val="22"/>
                <w:szCs w:val="20"/>
              </w:rPr>
            </w:pPr>
            <w:r>
              <w:rPr>
                <w:rFonts w:hint="eastAsia" w:ascii="宋体" w:hAnsi="Calibri" w:cs="宋体"/>
                <w:kern w:val="0"/>
                <w:sz w:val="22"/>
                <w:szCs w:val="20"/>
              </w:rPr>
              <w:t>序号</w:t>
            </w:r>
          </w:p>
        </w:tc>
        <w:tc>
          <w:tcPr>
            <w:tcW w:w="1418" w:type="dxa"/>
            <w:noWrap w:val="0"/>
            <w:vAlign w:val="center"/>
          </w:tcPr>
          <w:p w14:paraId="5B9E324F">
            <w:pPr>
              <w:autoSpaceDN w:val="0"/>
              <w:spacing w:line="360" w:lineRule="auto"/>
              <w:jc w:val="center"/>
              <w:rPr>
                <w:rFonts w:ascii="宋体" w:hAnsi="Calibri" w:cs="宋体"/>
                <w:kern w:val="0"/>
                <w:sz w:val="22"/>
                <w:szCs w:val="20"/>
              </w:rPr>
            </w:pPr>
            <w:r>
              <w:rPr>
                <w:rFonts w:hint="eastAsia" w:ascii="宋体" w:hAnsi="Calibri" w:cs="宋体"/>
                <w:kern w:val="0"/>
                <w:sz w:val="22"/>
                <w:szCs w:val="20"/>
              </w:rPr>
              <w:t>名称</w:t>
            </w:r>
          </w:p>
        </w:tc>
        <w:tc>
          <w:tcPr>
            <w:tcW w:w="1417" w:type="dxa"/>
            <w:noWrap w:val="0"/>
            <w:vAlign w:val="center"/>
          </w:tcPr>
          <w:p w14:paraId="5AA96D83">
            <w:pPr>
              <w:autoSpaceDN w:val="0"/>
              <w:spacing w:line="360" w:lineRule="auto"/>
              <w:jc w:val="center"/>
              <w:rPr>
                <w:rFonts w:ascii="宋体" w:hAnsi="Calibri" w:cs="宋体"/>
                <w:kern w:val="0"/>
                <w:sz w:val="22"/>
                <w:szCs w:val="20"/>
              </w:rPr>
            </w:pPr>
            <w:r>
              <w:rPr>
                <w:rFonts w:hint="eastAsia" w:ascii="宋体" w:hAnsi="Calibri" w:cs="宋体"/>
                <w:kern w:val="0"/>
                <w:sz w:val="22"/>
                <w:szCs w:val="20"/>
              </w:rPr>
              <w:t>面积（㎡）</w:t>
            </w:r>
          </w:p>
        </w:tc>
        <w:tc>
          <w:tcPr>
            <w:tcW w:w="5812" w:type="dxa"/>
            <w:noWrap w:val="0"/>
            <w:vAlign w:val="center"/>
          </w:tcPr>
          <w:p w14:paraId="38DF9395">
            <w:pPr>
              <w:autoSpaceDN w:val="0"/>
              <w:spacing w:line="360" w:lineRule="auto"/>
              <w:jc w:val="center"/>
              <w:rPr>
                <w:rFonts w:ascii="宋体" w:hAnsi="Calibri" w:cs="宋体"/>
                <w:kern w:val="0"/>
                <w:sz w:val="22"/>
                <w:szCs w:val="20"/>
              </w:rPr>
            </w:pPr>
            <w:r>
              <w:rPr>
                <w:rFonts w:hint="eastAsia" w:ascii="宋体" w:hAnsi="Calibri" w:cs="宋体"/>
                <w:color w:val="000000"/>
                <w:kern w:val="0"/>
                <w:sz w:val="22"/>
                <w:szCs w:val="20"/>
              </w:rPr>
              <w:t>服务范围</w:t>
            </w:r>
          </w:p>
        </w:tc>
      </w:tr>
      <w:tr w14:paraId="182D7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5" w:hRule="atLeast"/>
        </w:trPr>
        <w:tc>
          <w:tcPr>
            <w:tcW w:w="709" w:type="dxa"/>
            <w:noWrap w:val="0"/>
            <w:vAlign w:val="center"/>
          </w:tcPr>
          <w:p w14:paraId="722EA467">
            <w:pPr>
              <w:autoSpaceDN w:val="0"/>
              <w:spacing w:line="240" w:lineRule="atLeast"/>
              <w:jc w:val="center"/>
              <w:rPr>
                <w:rFonts w:ascii="宋体" w:hAnsi="Calibri" w:cs="宋体"/>
                <w:color w:val="000000"/>
                <w:kern w:val="0"/>
                <w:szCs w:val="20"/>
              </w:rPr>
            </w:pPr>
            <w:r>
              <w:rPr>
                <w:rFonts w:ascii="宋体" w:hAnsi="Calibri" w:cs="宋体"/>
                <w:color w:val="000000"/>
                <w:kern w:val="0"/>
                <w:szCs w:val="20"/>
              </w:rPr>
              <w:t>1</w:t>
            </w:r>
          </w:p>
        </w:tc>
        <w:tc>
          <w:tcPr>
            <w:tcW w:w="1418" w:type="dxa"/>
            <w:noWrap w:val="0"/>
            <w:vAlign w:val="center"/>
          </w:tcPr>
          <w:p w14:paraId="4947D613">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绿化养护</w:t>
            </w:r>
          </w:p>
        </w:tc>
        <w:tc>
          <w:tcPr>
            <w:tcW w:w="1417" w:type="dxa"/>
            <w:noWrap w:val="0"/>
            <w:vAlign w:val="center"/>
          </w:tcPr>
          <w:p w14:paraId="03331DAB">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整个校区（含校门口）</w:t>
            </w:r>
          </w:p>
        </w:tc>
        <w:tc>
          <w:tcPr>
            <w:tcW w:w="5812" w:type="dxa"/>
            <w:noWrap w:val="0"/>
            <w:vAlign w:val="center"/>
          </w:tcPr>
          <w:p w14:paraId="6AE4B3F1">
            <w:pPr>
              <w:autoSpaceDN w:val="0"/>
              <w:spacing w:line="240" w:lineRule="atLeast"/>
              <w:rPr>
                <w:rFonts w:ascii="宋体" w:hAnsi="Calibri" w:cs="宋体"/>
                <w:color w:val="000000"/>
                <w:kern w:val="0"/>
                <w:szCs w:val="20"/>
              </w:rPr>
            </w:pPr>
            <w:r>
              <w:rPr>
                <w:rFonts w:hint="eastAsia" w:ascii="宋体" w:hAnsi="Calibri" w:cs="宋体"/>
                <w:color w:val="000000"/>
                <w:kern w:val="0"/>
                <w:szCs w:val="20"/>
              </w:rPr>
              <w:t>所有绿化地带内</w:t>
            </w:r>
            <w:r>
              <w:rPr>
                <w:rFonts w:ascii="宋体" w:hAnsi="Calibri" w:cs="宋体"/>
                <w:color w:val="000000"/>
                <w:kern w:val="0"/>
                <w:szCs w:val="20"/>
              </w:rPr>
              <w:t>(</w:t>
            </w:r>
            <w:r>
              <w:rPr>
                <w:rFonts w:hint="eastAsia" w:ascii="宋体" w:hAnsi="Calibri" w:cs="宋体"/>
                <w:color w:val="000000"/>
                <w:kern w:val="0"/>
                <w:szCs w:val="20"/>
              </w:rPr>
              <w:t>含合同期内新增部分</w:t>
            </w:r>
            <w:r>
              <w:rPr>
                <w:rFonts w:ascii="宋体" w:hAnsi="Calibri" w:cs="宋体"/>
                <w:color w:val="000000"/>
                <w:kern w:val="0"/>
                <w:szCs w:val="20"/>
              </w:rPr>
              <w:t>)</w:t>
            </w:r>
            <w:r>
              <w:rPr>
                <w:rFonts w:hint="eastAsia" w:ascii="宋体" w:hAnsi="Calibri" w:cs="宋体"/>
                <w:color w:val="000000"/>
                <w:kern w:val="0"/>
                <w:szCs w:val="20"/>
              </w:rPr>
              <w:t>树木、花灌木（含花箱、花坛）、地被植物的标识、养护（如浇水、修剪、除草、施肥、药剂涂白、各类病虫害防治等），绿化带施工管理，绿化带石块、建筑垃圾清理。</w:t>
            </w:r>
          </w:p>
        </w:tc>
      </w:tr>
      <w:tr w14:paraId="19CA0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8" w:hRule="atLeast"/>
        </w:trPr>
        <w:tc>
          <w:tcPr>
            <w:tcW w:w="709" w:type="dxa"/>
            <w:noWrap w:val="0"/>
            <w:vAlign w:val="center"/>
          </w:tcPr>
          <w:p w14:paraId="0A145279">
            <w:pPr>
              <w:autoSpaceDN w:val="0"/>
              <w:spacing w:line="240" w:lineRule="atLeast"/>
              <w:jc w:val="center"/>
              <w:rPr>
                <w:rFonts w:ascii="宋体" w:hAnsi="Calibri" w:cs="宋体"/>
                <w:color w:val="000000"/>
                <w:kern w:val="0"/>
                <w:szCs w:val="20"/>
              </w:rPr>
            </w:pPr>
            <w:r>
              <w:rPr>
                <w:rFonts w:ascii="宋体" w:hAnsi="Calibri" w:cs="宋体"/>
                <w:color w:val="000000"/>
                <w:kern w:val="0"/>
                <w:szCs w:val="20"/>
              </w:rPr>
              <w:t>2</w:t>
            </w:r>
          </w:p>
        </w:tc>
        <w:tc>
          <w:tcPr>
            <w:tcW w:w="1418" w:type="dxa"/>
            <w:noWrap w:val="0"/>
            <w:vAlign w:val="center"/>
          </w:tcPr>
          <w:p w14:paraId="641F862D">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水域保洁</w:t>
            </w:r>
          </w:p>
        </w:tc>
        <w:tc>
          <w:tcPr>
            <w:tcW w:w="1417" w:type="dxa"/>
            <w:noWrap w:val="0"/>
            <w:vAlign w:val="center"/>
          </w:tcPr>
          <w:p w14:paraId="36A4F983">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整个校区（含校门口）</w:t>
            </w:r>
          </w:p>
        </w:tc>
        <w:tc>
          <w:tcPr>
            <w:tcW w:w="5812" w:type="dxa"/>
            <w:noWrap w:val="0"/>
            <w:vAlign w:val="center"/>
          </w:tcPr>
          <w:p w14:paraId="18990239">
            <w:pPr>
              <w:autoSpaceDN w:val="0"/>
              <w:spacing w:line="240" w:lineRule="atLeast"/>
              <w:rPr>
                <w:rFonts w:ascii="宋体" w:hAnsi="Calibri" w:cs="宋体"/>
                <w:color w:val="000000"/>
                <w:kern w:val="0"/>
                <w:szCs w:val="20"/>
              </w:rPr>
            </w:pPr>
            <w:r>
              <w:rPr>
                <w:rFonts w:hint="eastAsia" w:ascii="宋体" w:hAnsi="Calibri" w:cs="宋体"/>
                <w:color w:val="000000"/>
                <w:kern w:val="0"/>
                <w:szCs w:val="20"/>
              </w:rPr>
              <w:t>中心花园喷泉池治理，如除菌、杀藻、抑水草、种植水花（睡莲等）、观赏鱼（投放鱼苗并喂食）、水池清洗换水、漂浮物清捞、护坡除杂、卫生保洁等。</w:t>
            </w:r>
          </w:p>
        </w:tc>
      </w:tr>
      <w:tr w14:paraId="3E147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8" w:hRule="atLeast"/>
        </w:trPr>
        <w:tc>
          <w:tcPr>
            <w:tcW w:w="709" w:type="dxa"/>
            <w:noWrap w:val="0"/>
            <w:vAlign w:val="center"/>
          </w:tcPr>
          <w:p w14:paraId="746D584F">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3</w:t>
            </w:r>
          </w:p>
        </w:tc>
        <w:tc>
          <w:tcPr>
            <w:tcW w:w="1418" w:type="dxa"/>
            <w:noWrap w:val="0"/>
            <w:vAlign w:val="center"/>
          </w:tcPr>
          <w:p w14:paraId="690D47BB">
            <w:pPr>
              <w:autoSpaceDN w:val="0"/>
              <w:spacing w:line="240" w:lineRule="atLeast"/>
              <w:jc w:val="center"/>
              <w:rPr>
                <w:rFonts w:hint="eastAsia" w:ascii="宋体" w:hAnsi="Calibri" w:cs="宋体"/>
                <w:color w:val="000000"/>
                <w:kern w:val="0"/>
                <w:szCs w:val="20"/>
              </w:rPr>
            </w:pPr>
            <w:r>
              <w:rPr>
                <w:rFonts w:hint="eastAsia" w:ascii="宋体" w:hAnsi="Calibri" w:cs="宋体"/>
                <w:color w:val="000000"/>
                <w:kern w:val="0"/>
                <w:szCs w:val="20"/>
              </w:rPr>
              <w:t>绿化带、道路及广场和空地保洁</w:t>
            </w:r>
          </w:p>
        </w:tc>
        <w:tc>
          <w:tcPr>
            <w:tcW w:w="1417" w:type="dxa"/>
            <w:noWrap w:val="0"/>
            <w:vAlign w:val="center"/>
          </w:tcPr>
          <w:p w14:paraId="6E013392">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整个校区（含校门口）</w:t>
            </w:r>
          </w:p>
        </w:tc>
        <w:tc>
          <w:tcPr>
            <w:tcW w:w="5812" w:type="dxa"/>
            <w:noWrap w:val="0"/>
            <w:vAlign w:val="center"/>
          </w:tcPr>
          <w:p w14:paraId="3617963A">
            <w:pPr>
              <w:autoSpaceDN w:val="0"/>
              <w:spacing w:line="240" w:lineRule="atLeast"/>
              <w:rPr>
                <w:rFonts w:hint="eastAsia" w:ascii="宋体" w:hAnsi="Calibri" w:cs="宋体"/>
                <w:color w:val="000000"/>
                <w:kern w:val="0"/>
                <w:szCs w:val="20"/>
              </w:rPr>
            </w:pPr>
            <w:r>
              <w:rPr>
                <w:rFonts w:hint="eastAsia" w:ascii="宋体" w:hAnsi="Calibri" w:cs="宋体"/>
                <w:color w:val="000000"/>
                <w:kern w:val="0"/>
                <w:szCs w:val="20"/>
              </w:rPr>
              <w:t>负责所有道路、楼宇周边公共区域环境卫生保洁；负责垃圾中转站的日常管理和保洁；负责绿化带、长廊等休息凳卫生保洁；负责校园内所有各类垃圾（含生活、绿化、零星建筑等垃圾）的清理并运送到中转站，督促垃圾清运公司及时清运垃圾；负责所有化粪池、污水管道清理疏通（每半年一次）。西北角22亩地禁止倾倒垃圾，定期清（整）理。</w:t>
            </w:r>
          </w:p>
        </w:tc>
      </w:tr>
      <w:tr w14:paraId="56D0C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8" w:hRule="atLeast"/>
        </w:trPr>
        <w:tc>
          <w:tcPr>
            <w:tcW w:w="709" w:type="dxa"/>
            <w:noWrap w:val="0"/>
            <w:vAlign w:val="center"/>
          </w:tcPr>
          <w:p w14:paraId="64B1FAB3">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4</w:t>
            </w:r>
          </w:p>
        </w:tc>
        <w:tc>
          <w:tcPr>
            <w:tcW w:w="1418" w:type="dxa"/>
            <w:noWrap w:val="0"/>
            <w:vAlign w:val="center"/>
          </w:tcPr>
          <w:p w14:paraId="08F12A92">
            <w:pPr>
              <w:autoSpaceDN w:val="0"/>
              <w:spacing w:line="240" w:lineRule="atLeast"/>
              <w:jc w:val="center"/>
              <w:rPr>
                <w:rFonts w:hint="eastAsia" w:ascii="宋体" w:hAnsi="Calibri" w:cs="宋体"/>
                <w:color w:val="000000"/>
                <w:kern w:val="0"/>
                <w:szCs w:val="20"/>
              </w:rPr>
            </w:pPr>
            <w:r>
              <w:rPr>
                <w:rFonts w:hint="eastAsia" w:ascii="宋体" w:hAnsi="Calibri" w:cs="宋体"/>
                <w:color w:val="000000"/>
                <w:kern w:val="0"/>
                <w:szCs w:val="20"/>
              </w:rPr>
              <w:t>路灯射灯等管理</w:t>
            </w:r>
          </w:p>
        </w:tc>
        <w:tc>
          <w:tcPr>
            <w:tcW w:w="1417" w:type="dxa"/>
            <w:noWrap w:val="0"/>
            <w:vAlign w:val="center"/>
          </w:tcPr>
          <w:p w14:paraId="4A411F36">
            <w:pPr>
              <w:autoSpaceDN w:val="0"/>
              <w:spacing w:line="240" w:lineRule="atLeast"/>
              <w:jc w:val="center"/>
              <w:rPr>
                <w:rFonts w:ascii="宋体" w:hAnsi="Calibri" w:cs="宋体"/>
                <w:color w:val="000000"/>
                <w:kern w:val="0"/>
                <w:szCs w:val="20"/>
              </w:rPr>
            </w:pPr>
          </w:p>
        </w:tc>
        <w:tc>
          <w:tcPr>
            <w:tcW w:w="5812" w:type="dxa"/>
            <w:noWrap w:val="0"/>
            <w:vAlign w:val="center"/>
          </w:tcPr>
          <w:p w14:paraId="21132EB1">
            <w:pPr>
              <w:autoSpaceDN w:val="0"/>
              <w:spacing w:line="240" w:lineRule="atLeast"/>
              <w:rPr>
                <w:rFonts w:hint="eastAsia" w:ascii="宋体" w:hAnsi="Calibri" w:cs="宋体"/>
                <w:color w:val="000000"/>
                <w:kern w:val="0"/>
                <w:szCs w:val="20"/>
              </w:rPr>
            </w:pPr>
            <w:r>
              <w:rPr>
                <w:rFonts w:hint="eastAsia" w:ascii="宋体" w:hAnsi="Calibri" w:cs="宋体"/>
                <w:color w:val="000000"/>
                <w:kern w:val="0"/>
                <w:szCs w:val="20"/>
              </w:rPr>
              <w:t>校园内所有路灯、射灯、灯箱、景观灯、发光字等日常开关、维护及小型维修。</w:t>
            </w:r>
          </w:p>
        </w:tc>
      </w:tr>
      <w:tr w14:paraId="12716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8" w:hRule="atLeast"/>
        </w:trPr>
        <w:tc>
          <w:tcPr>
            <w:tcW w:w="709" w:type="dxa"/>
            <w:noWrap w:val="0"/>
            <w:vAlign w:val="center"/>
          </w:tcPr>
          <w:p w14:paraId="168B063E">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5</w:t>
            </w:r>
          </w:p>
        </w:tc>
        <w:tc>
          <w:tcPr>
            <w:tcW w:w="1418" w:type="dxa"/>
            <w:noWrap w:val="0"/>
            <w:vAlign w:val="center"/>
          </w:tcPr>
          <w:p w14:paraId="4494DB73">
            <w:pPr>
              <w:autoSpaceDN w:val="0"/>
              <w:spacing w:line="240" w:lineRule="atLeast"/>
              <w:jc w:val="center"/>
              <w:rPr>
                <w:rFonts w:hint="eastAsia" w:ascii="宋体" w:hAnsi="Calibri" w:cs="宋体"/>
                <w:color w:val="000000"/>
                <w:kern w:val="0"/>
                <w:szCs w:val="20"/>
              </w:rPr>
            </w:pPr>
            <w:r>
              <w:rPr>
                <w:rFonts w:hint="eastAsia" w:ascii="宋体" w:hAnsi="Calibri" w:cs="宋体"/>
                <w:color w:val="000000"/>
                <w:kern w:val="0"/>
                <w:szCs w:val="20"/>
              </w:rPr>
              <w:t>窨井、雨水井、化粪池、水表井、管线井（尤其是道路管线井）</w:t>
            </w:r>
          </w:p>
        </w:tc>
        <w:tc>
          <w:tcPr>
            <w:tcW w:w="1417" w:type="dxa"/>
            <w:noWrap w:val="0"/>
            <w:vAlign w:val="center"/>
          </w:tcPr>
          <w:p w14:paraId="6D65C9C0">
            <w:pPr>
              <w:autoSpaceDN w:val="0"/>
              <w:spacing w:line="240" w:lineRule="atLeast"/>
              <w:jc w:val="center"/>
              <w:rPr>
                <w:rFonts w:ascii="宋体" w:hAnsi="Calibri" w:cs="宋体"/>
                <w:color w:val="000000"/>
                <w:kern w:val="0"/>
                <w:szCs w:val="20"/>
              </w:rPr>
            </w:pPr>
          </w:p>
        </w:tc>
        <w:tc>
          <w:tcPr>
            <w:tcW w:w="5812" w:type="dxa"/>
            <w:noWrap w:val="0"/>
            <w:vAlign w:val="center"/>
          </w:tcPr>
          <w:p w14:paraId="52AB465E">
            <w:pPr>
              <w:autoSpaceDN w:val="0"/>
              <w:spacing w:line="240" w:lineRule="atLeast"/>
              <w:rPr>
                <w:rFonts w:hint="eastAsia" w:ascii="宋体" w:hAnsi="Calibri" w:cs="宋体"/>
                <w:color w:val="000000"/>
                <w:kern w:val="0"/>
                <w:szCs w:val="20"/>
              </w:rPr>
            </w:pPr>
            <w:r>
              <w:rPr>
                <w:rFonts w:hint="eastAsia" w:ascii="宋体" w:hAnsi="Calibri" w:cs="宋体"/>
                <w:color w:val="000000"/>
                <w:kern w:val="0"/>
                <w:szCs w:val="20"/>
              </w:rPr>
              <w:t>疏通、清掏、巡查、维护，发现损坏井盖、盖板及时购买更换。</w:t>
            </w:r>
          </w:p>
        </w:tc>
      </w:tr>
      <w:tr w14:paraId="6AE7F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8" w:hRule="atLeast"/>
        </w:trPr>
        <w:tc>
          <w:tcPr>
            <w:tcW w:w="709" w:type="dxa"/>
            <w:noWrap w:val="0"/>
            <w:vAlign w:val="center"/>
          </w:tcPr>
          <w:p w14:paraId="65C5AAB1">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6</w:t>
            </w:r>
          </w:p>
        </w:tc>
        <w:tc>
          <w:tcPr>
            <w:tcW w:w="1418" w:type="dxa"/>
            <w:noWrap w:val="0"/>
            <w:vAlign w:val="center"/>
          </w:tcPr>
          <w:p w14:paraId="4C8D7C53">
            <w:pPr>
              <w:autoSpaceDN w:val="0"/>
              <w:spacing w:line="240" w:lineRule="atLeast"/>
              <w:jc w:val="center"/>
              <w:rPr>
                <w:rFonts w:hint="eastAsia" w:ascii="宋体" w:hAnsi="Calibri" w:cs="宋体"/>
                <w:color w:val="000000"/>
                <w:kern w:val="0"/>
                <w:szCs w:val="20"/>
              </w:rPr>
            </w:pPr>
            <w:r>
              <w:rPr>
                <w:rFonts w:hint="eastAsia" w:ascii="宋体" w:hAnsi="Calibri" w:cs="宋体"/>
                <w:color w:val="000000"/>
                <w:kern w:val="0"/>
                <w:szCs w:val="20"/>
              </w:rPr>
              <w:t>垃圾中转站</w:t>
            </w:r>
          </w:p>
        </w:tc>
        <w:tc>
          <w:tcPr>
            <w:tcW w:w="1417" w:type="dxa"/>
            <w:noWrap w:val="0"/>
            <w:vAlign w:val="center"/>
          </w:tcPr>
          <w:p w14:paraId="27792314">
            <w:pPr>
              <w:autoSpaceDN w:val="0"/>
              <w:spacing w:line="240" w:lineRule="atLeast"/>
              <w:jc w:val="center"/>
              <w:rPr>
                <w:rFonts w:ascii="宋体" w:hAnsi="Calibri" w:cs="宋体"/>
                <w:color w:val="000000"/>
                <w:kern w:val="0"/>
                <w:szCs w:val="20"/>
              </w:rPr>
            </w:pPr>
          </w:p>
        </w:tc>
        <w:tc>
          <w:tcPr>
            <w:tcW w:w="5812" w:type="dxa"/>
            <w:noWrap w:val="0"/>
            <w:vAlign w:val="center"/>
          </w:tcPr>
          <w:p w14:paraId="661EB908">
            <w:pPr>
              <w:autoSpaceDN w:val="0"/>
              <w:spacing w:line="240" w:lineRule="atLeast"/>
              <w:rPr>
                <w:rFonts w:hint="eastAsia" w:ascii="宋体" w:hAnsi="Calibri" w:cs="宋体"/>
                <w:color w:val="000000"/>
                <w:kern w:val="0"/>
                <w:szCs w:val="20"/>
              </w:rPr>
            </w:pPr>
            <w:r>
              <w:rPr>
                <w:rFonts w:hint="eastAsia" w:ascii="宋体" w:hAnsi="Calibri" w:cs="宋体"/>
                <w:color w:val="000000"/>
                <w:kern w:val="0"/>
                <w:szCs w:val="20"/>
              </w:rPr>
              <w:t>垃圾中转站的日常管理和保洁，督促垃圾清运公司及时清运垃圾，协调校区内垃圾运送。</w:t>
            </w:r>
          </w:p>
        </w:tc>
      </w:tr>
      <w:tr w14:paraId="200C6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8" w:hRule="atLeast"/>
        </w:trPr>
        <w:tc>
          <w:tcPr>
            <w:tcW w:w="709" w:type="dxa"/>
            <w:noWrap w:val="0"/>
            <w:vAlign w:val="center"/>
          </w:tcPr>
          <w:p w14:paraId="6A873BE4">
            <w:pPr>
              <w:autoSpaceDN w:val="0"/>
              <w:spacing w:line="240" w:lineRule="atLeast"/>
              <w:jc w:val="center"/>
              <w:rPr>
                <w:rFonts w:ascii="宋体" w:hAnsi="Calibri" w:cs="宋体"/>
                <w:color w:val="000000"/>
                <w:kern w:val="0"/>
                <w:szCs w:val="20"/>
              </w:rPr>
            </w:pPr>
            <w:r>
              <w:rPr>
                <w:rFonts w:hint="eastAsia" w:ascii="宋体" w:hAnsi="Calibri" w:cs="宋体"/>
                <w:color w:val="000000"/>
                <w:kern w:val="0"/>
                <w:szCs w:val="20"/>
              </w:rPr>
              <w:t>7</w:t>
            </w:r>
          </w:p>
        </w:tc>
        <w:tc>
          <w:tcPr>
            <w:tcW w:w="1418" w:type="dxa"/>
            <w:noWrap w:val="0"/>
            <w:vAlign w:val="center"/>
          </w:tcPr>
          <w:p w14:paraId="6CB18A5D">
            <w:pPr>
              <w:autoSpaceDN w:val="0"/>
              <w:spacing w:line="240" w:lineRule="atLeast"/>
              <w:jc w:val="center"/>
              <w:rPr>
                <w:rFonts w:hint="eastAsia" w:ascii="宋体" w:hAnsi="Calibri" w:cs="宋体"/>
                <w:color w:val="000000"/>
                <w:kern w:val="0"/>
                <w:szCs w:val="20"/>
              </w:rPr>
            </w:pPr>
            <w:r>
              <w:rPr>
                <w:rFonts w:hint="eastAsia" w:ascii="宋体" w:hAnsi="Calibri" w:cs="宋体"/>
                <w:color w:val="000000"/>
                <w:kern w:val="0"/>
                <w:szCs w:val="20"/>
              </w:rPr>
              <w:t>校园管理</w:t>
            </w:r>
          </w:p>
        </w:tc>
        <w:tc>
          <w:tcPr>
            <w:tcW w:w="1417" w:type="dxa"/>
            <w:noWrap w:val="0"/>
            <w:vAlign w:val="center"/>
          </w:tcPr>
          <w:p w14:paraId="55DB5F94">
            <w:pPr>
              <w:autoSpaceDN w:val="0"/>
              <w:spacing w:line="240" w:lineRule="atLeast"/>
              <w:jc w:val="center"/>
              <w:rPr>
                <w:rFonts w:ascii="宋体" w:hAnsi="Calibri" w:cs="宋体"/>
                <w:color w:val="000000"/>
                <w:kern w:val="0"/>
                <w:szCs w:val="20"/>
              </w:rPr>
            </w:pPr>
          </w:p>
        </w:tc>
        <w:tc>
          <w:tcPr>
            <w:tcW w:w="5812" w:type="dxa"/>
            <w:noWrap w:val="0"/>
            <w:vAlign w:val="center"/>
          </w:tcPr>
          <w:p w14:paraId="487986E7">
            <w:pPr>
              <w:autoSpaceDN w:val="0"/>
              <w:spacing w:line="240" w:lineRule="atLeast"/>
              <w:rPr>
                <w:rFonts w:hint="eastAsia" w:ascii="宋体" w:hAnsi="Calibri" w:cs="宋体"/>
                <w:color w:val="000000"/>
                <w:kern w:val="0"/>
                <w:szCs w:val="20"/>
              </w:rPr>
            </w:pPr>
            <w:r>
              <w:rPr>
                <w:rFonts w:hint="eastAsia" w:ascii="宋体" w:hAnsi="Calibri" w:cs="宋体"/>
                <w:color w:val="000000"/>
                <w:kern w:val="0"/>
                <w:szCs w:val="20"/>
              </w:rPr>
              <w:t>负责校园环境日常管理；负责清理乱贴、乱挂及各类小广告，校园摊点管理，校园施工许可检查。负责西北角22亩地院内日常检查、巡视，杜绝安全隐患。</w:t>
            </w:r>
          </w:p>
        </w:tc>
      </w:tr>
    </w:tbl>
    <w:p w14:paraId="3B9EA4B0">
      <w:pPr>
        <w:widowControl/>
        <w:spacing w:line="400" w:lineRule="atLeast"/>
        <w:ind w:firstLine="480"/>
        <w:rPr>
          <w:rFonts w:hint="eastAsia" w:ascii="宋体" w:hAnsi="宋体"/>
          <w:b/>
          <w:bCs/>
          <w:kern w:val="0"/>
          <w:sz w:val="22"/>
          <w:szCs w:val="21"/>
        </w:rPr>
      </w:pPr>
      <w:r>
        <w:rPr>
          <w:rFonts w:hint="eastAsia" w:ascii="宋体" w:hAnsi="宋体"/>
          <w:b/>
          <w:bCs/>
          <w:kern w:val="0"/>
          <w:sz w:val="22"/>
          <w:szCs w:val="21"/>
        </w:rPr>
        <w:t>注意事项：</w:t>
      </w:r>
    </w:p>
    <w:p w14:paraId="670A5977">
      <w:pPr>
        <w:widowControl/>
        <w:spacing w:line="400" w:lineRule="atLeast"/>
        <w:ind w:firstLine="480"/>
        <w:rPr>
          <w:rFonts w:hint="eastAsia" w:ascii="宋体" w:hAnsi="宋体"/>
          <w:kern w:val="0"/>
          <w:sz w:val="22"/>
          <w:szCs w:val="21"/>
        </w:rPr>
      </w:pPr>
      <w:r>
        <w:rPr>
          <w:rFonts w:hint="eastAsia" w:ascii="宋体" w:hAnsi="宋体"/>
          <w:kern w:val="0"/>
          <w:sz w:val="22"/>
          <w:szCs w:val="21"/>
        </w:rPr>
        <w:t>1.合同履行期限内，因客观原因（如校区重新布局调整，改变房间用途等）需要在服务范围内增加教室、窨井（雨水井、污水井）、化粪池、水表井、管线井（尤其是道路管线井）数量或者绿化、公共区域保洁面积，中标人承担物业服务，不再额外增加服务费用，增加楼宇不受此限制，投标单位投标时务必要谨慎考虑此风险。</w:t>
      </w:r>
    </w:p>
    <w:p w14:paraId="2345C5B1">
      <w:pPr>
        <w:widowControl/>
        <w:spacing w:line="400" w:lineRule="atLeast"/>
        <w:ind w:firstLine="480"/>
        <w:rPr>
          <w:rFonts w:ascii="宋体" w:hAnsi="宋体"/>
          <w:kern w:val="0"/>
          <w:sz w:val="22"/>
          <w:szCs w:val="21"/>
        </w:rPr>
      </w:pPr>
      <w:r>
        <w:rPr>
          <w:rFonts w:hint="eastAsia" w:ascii="宋体" w:hAnsi="宋体"/>
          <w:kern w:val="0"/>
          <w:sz w:val="22"/>
          <w:szCs w:val="21"/>
        </w:rPr>
        <w:t>2.维修更换的产品，不得低于学校目前正在使用的同类产品，如不得将损坏的</w:t>
      </w:r>
      <w:r>
        <w:rPr>
          <w:rFonts w:ascii="宋体" w:hAnsi="宋体"/>
          <w:kern w:val="0"/>
          <w:sz w:val="22"/>
          <w:szCs w:val="21"/>
        </w:rPr>
        <w:t>LED</w:t>
      </w:r>
      <w:r>
        <w:rPr>
          <w:rFonts w:hint="eastAsia" w:ascii="宋体" w:hAnsi="宋体"/>
          <w:kern w:val="0"/>
          <w:sz w:val="22"/>
          <w:szCs w:val="21"/>
        </w:rPr>
        <w:t>灯管更换为普通节能灯管等。</w:t>
      </w:r>
    </w:p>
    <w:p w14:paraId="0CBEDCC5">
      <w:pPr>
        <w:widowControl/>
        <w:spacing w:line="400" w:lineRule="atLeast"/>
        <w:ind w:firstLine="480"/>
        <w:rPr>
          <w:rFonts w:hint="eastAsia" w:ascii="宋体" w:hAnsi="宋体"/>
          <w:kern w:val="0"/>
          <w:sz w:val="22"/>
          <w:szCs w:val="21"/>
        </w:rPr>
      </w:pPr>
      <w:r>
        <w:rPr>
          <w:rFonts w:hint="eastAsia" w:ascii="宋体" w:hAnsi="宋体"/>
          <w:kern w:val="0"/>
          <w:sz w:val="22"/>
          <w:szCs w:val="21"/>
        </w:rPr>
        <w:t>3.校区楼宇安排不少于4名值班员轮流值班，值班安排方案须经采购人同意。</w:t>
      </w:r>
    </w:p>
    <w:p w14:paraId="193602EA">
      <w:pPr>
        <w:spacing w:line="360" w:lineRule="auto"/>
        <w:ind w:firstLine="480" w:firstLineChars="200"/>
        <w:rPr>
          <w:rFonts w:hint="eastAsia" w:ascii="宋体" w:hAnsi="宋体"/>
          <w:b/>
          <w:sz w:val="24"/>
        </w:rPr>
      </w:pPr>
      <w:r>
        <w:rPr>
          <w:rFonts w:hint="eastAsia" w:ascii="宋体" w:hAnsi="宋体"/>
          <w:b/>
          <w:sz w:val="24"/>
        </w:rPr>
        <w:t>2.2服务具体要求：</w:t>
      </w:r>
    </w:p>
    <w:p w14:paraId="5729DEA3">
      <w:pPr>
        <w:widowControl/>
        <w:spacing w:line="360" w:lineRule="auto"/>
        <w:ind w:firstLine="480" w:firstLineChars="200"/>
        <w:rPr>
          <w:rFonts w:ascii="宋体" w:hAnsi="宋体"/>
          <w:b/>
          <w:bCs/>
          <w:kern w:val="0"/>
          <w:sz w:val="24"/>
          <w:szCs w:val="21"/>
        </w:rPr>
      </w:pPr>
      <w:r>
        <w:rPr>
          <w:rFonts w:hint="eastAsia" w:ascii="宋体" w:hAnsi="宋体"/>
          <w:b/>
          <w:bCs/>
          <w:kern w:val="0"/>
          <w:sz w:val="24"/>
          <w:szCs w:val="21"/>
        </w:rPr>
        <w:t>1.楼宇物业服务内容：</w:t>
      </w:r>
    </w:p>
    <w:p w14:paraId="2FED9CE5">
      <w:pPr>
        <w:widowControl/>
        <w:spacing w:line="360" w:lineRule="auto"/>
        <w:ind w:firstLine="480"/>
        <w:rPr>
          <w:rFonts w:ascii="宋体" w:hAnsi="宋体"/>
          <w:kern w:val="0"/>
          <w:sz w:val="24"/>
          <w:szCs w:val="21"/>
        </w:rPr>
      </w:pPr>
      <w:r>
        <w:rPr>
          <w:rFonts w:hint="eastAsia" w:ascii="宋体" w:hAnsi="宋体"/>
          <w:kern w:val="0"/>
          <w:sz w:val="24"/>
          <w:szCs w:val="21"/>
        </w:rPr>
        <w:t>（1）公共设施管理：负责房屋、建筑物、构筑物、水电等配套公共设施维护管理。</w:t>
      </w:r>
    </w:p>
    <w:p w14:paraId="049EE36E">
      <w:pPr>
        <w:widowControl/>
        <w:spacing w:line="360" w:lineRule="auto"/>
        <w:ind w:firstLine="480"/>
        <w:rPr>
          <w:rFonts w:hint="eastAsia" w:ascii="宋体" w:hAnsi="宋体"/>
          <w:kern w:val="0"/>
          <w:sz w:val="24"/>
          <w:szCs w:val="21"/>
        </w:rPr>
      </w:pPr>
      <w:r>
        <w:rPr>
          <w:rFonts w:hint="eastAsia" w:ascii="宋体" w:hAnsi="宋体"/>
          <w:kern w:val="0"/>
          <w:sz w:val="24"/>
          <w:szCs w:val="21"/>
        </w:rPr>
        <w:t>（2）消防管理：负责消防设备（含消防泵房）、设施巡检报修及监控管理。</w:t>
      </w:r>
    </w:p>
    <w:p w14:paraId="28D8FDEA">
      <w:pPr>
        <w:widowControl/>
        <w:spacing w:line="360" w:lineRule="auto"/>
        <w:ind w:firstLine="480"/>
        <w:rPr>
          <w:rFonts w:ascii="宋体" w:hAnsi="宋体"/>
          <w:kern w:val="0"/>
          <w:sz w:val="24"/>
          <w:szCs w:val="21"/>
        </w:rPr>
      </w:pPr>
      <w:r>
        <w:rPr>
          <w:rFonts w:hint="eastAsia" w:ascii="宋体" w:hAnsi="宋体"/>
          <w:kern w:val="0"/>
          <w:sz w:val="24"/>
          <w:szCs w:val="21"/>
        </w:rPr>
        <w:t>（3）安全保卫管理：</w:t>
      </w:r>
      <w:r>
        <w:rPr>
          <w:rFonts w:hint="eastAsia" w:ascii="宋体" w:hAnsi="宋体"/>
          <w:kern w:val="0"/>
          <w:sz w:val="24"/>
        </w:rPr>
        <w:t>结合楼宇安全管理实际，制定各类安全管理制度及应急预案。</w:t>
      </w:r>
      <w:r>
        <w:rPr>
          <w:rFonts w:hint="eastAsia" w:ascii="宋体" w:hAnsi="宋体"/>
          <w:kern w:val="0"/>
          <w:sz w:val="24"/>
          <w:szCs w:val="21"/>
        </w:rPr>
        <w:t>负责楼内公共秩序维护以及固定资产、设备设施的防盗工作。</w:t>
      </w:r>
      <w:r>
        <w:rPr>
          <w:rFonts w:hint="eastAsia" w:ascii="宋体" w:hAnsi="宋体"/>
          <w:kern w:val="0"/>
          <w:sz w:val="24"/>
        </w:rPr>
        <w:t>更新安全警示线、标、楼层标识等。</w:t>
      </w:r>
    </w:p>
    <w:p w14:paraId="10BDB69A">
      <w:pPr>
        <w:widowControl/>
        <w:spacing w:line="360" w:lineRule="auto"/>
        <w:ind w:firstLine="480"/>
        <w:rPr>
          <w:rFonts w:ascii="宋体" w:hAnsi="宋体"/>
          <w:kern w:val="0"/>
          <w:sz w:val="24"/>
          <w:szCs w:val="21"/>
        </w:rPr>
      </w:pPr>
      <w:r>
        <w:rPr>
          <w:rFonts w:hint="eastAsia" w:ascii="宋体" w:hAnsi="宋体"/>
          <w:kern w:val="0"/>
          <w:sz w:val="24"/>
          <w:szCs w:val="21"/>
        </w:rPr>
        <w:t>（4）卫生管理：承担楼内公共部位以及各类教室、教师休息室、会议室、指定房间等室内保洁工作，楼宇外立面及附属设施的保洁。</w:t>
      </w:r>
    </w:p>
    <w:p w14:paraId="18E1C298">
      <w:pPr>
        <w:widowControl/>
        <w:spacing w:line="360" w:lineRule="auto"/>
        <w:ind w:firstLine="480"/>
        <w:rPr>
          <w:rFonts w:ascii="宋体" w:hAnsi="宋体"/>
          <w:kern w:val="0"/>
          <w:sz w:val="24"/>
          <w:szCs w:val="21"/>
        </w:rPr>
      </w:pPr>
      <w:r>
        <w:rPr>
          <w:rFonts w:hint="eastAsia" w:ascii="宋体" w:hAnsi="宋体"/>
          <w:kern w:val="0"/>
          <w:sz w:val="24"/>
          <w:szCs w:val="21"/>
        </w:rPr>
        <w:t>（5）公共空调管理：按学校规定管理考研教室、会议室等公共场所空调。</w:t>
      </w:r>
    </w:p>
    <w:p w14:paraId="68A68D87">
      <w:pPr>
        <w:widowControl/>
        <w:spacing w:line="360" w:lineRule="auto"/>
        <w:ind w:firstLine="480"/>
        <w:rPr>
          <w:rFonts w:ascii="宋体" w:hAnsi="宋体"/>
          <w:kern w:val="0"/>
          <w:sz w:val="24"/>
          <w:szCs w:val="21"/>
        </w:rPr>
      </w:pPr>
      <w:r>
        <w:rPr>
          <w:rFonts w:hint="eastAsia" w:ascii="宋体" w:hAnsi="宋体"/>
          <w:kern w:val="0"/>
          <w:sz w:val="24"/>
          <w:szCs w:val="21"/>
        </w:rPr>
        <w:t>（6）教学楼宇服务管理：按学校相关规定做好教室的管理工作。负责教学楼内所有钥匙的管理和教辅用品的借用、发放，教学用粉笔、黑板擦的配置与管理，按作息时间和上下课时间做好打铃等服务。</w:t>
      </w:r>
    </w:p>
    <w:p w14:paraId="7C021920">
      <w:pPr>
        <w:widowControl/>
        <w:spacing w:line="360" w:lineRule="auto"/>
        <w:ind w:firstLine="480"/>
        <w:rPr>
          <w:rFonts w:ascii="宋体" w:hAnsi="宋体"/>
          <w:kern w:val="0"/>
          <w:sz w:val="24"/>
          <w:szCs w:val="21"/>
        </w:rPr>
      </w:pPr>
      <w:r>
        <w:rPr>
          <w:rFonts w:hint="eastAsia" w:ascii="宋体" w:hAnsi="宋体"/>
          <w:kern w:val="0"/>
          <w:sz w:val="24"/>
          <w:szCs w:val="21"/>
        </w:rPr>
        <w:t>（7）多媒体教学设备服务管理：负责多媒体、扩音设备等相关教学服务工作，确保正常的教学秩序。</w:t>
      </w:r>
    </w:p>
    <w:p w14:paraId="1E2082C9">
      <w:pPr>
        <w:widowControl/>
        <w:spacing w:line="360" w:lineRule="auto"/>
        <w:ind w:firstLine="480"/>
        <w:rPr>
          <w:rFonts w:ascii="宋体" w:hAnsi="宋体"/>
          <w:kern w:val="0"/>
          <w:sz w:val="24"/>
          <w:szCs w:val="21"/>
        </w:rPr>
      </w:pPr>
      <w:r>
        <w:rPr>
          <w:rFonts w:hint="eastAsia" w:ascii="宋体" w:hAnsi="宋体"/>
          <w:kern w:val="0"/>
          <w:sz w:val="24"/>
          <w:szCs w:val="21"/>
        </w:rPr>
        <w:t>（8）教师休息室服务管理：正常开放，保证休息室开水供应等相关到位。</w:t>
      </w:r>
    </w:p>
    <w:p w14:paraId="688B71C6">
      <w:pPr>
        <w:widowControl/>
        <w:spacing w:line="360" w:lineRule="auto"/>
        <w:ind w:firstLine="480"/>
        <w:rPr>
          <w:rFonts w:ascii="宋体" w:hAnsi="宋体"/>
          <w:kern w:val="0"/>
          <w:sz w:val="24"/>
          <w:szCs w:val="21"/>
        </w:rPr>
      </w:pPr>
      <w:r>
        <w:rPr>
          <w:rFonts w:hint="eastAsia" w:ascii="宋体" w:hAnsi="宋体"/>
          <w:kern w:val="0"/>
          <w:sz w:val="24"/>
          <w:szCs w:val="21"/>
        </w:rPr>
        <w:t>（9）公共水电管理服务：负责水电正常供应，各楼配电房管理，教学楼宇做到定时供电，路灯、亮化、发光字、电子屏幕、喷泉设施按学校要求定时开闭。做好节水节电工作，冬季做好上下水管线防冻工作。</w:t>
      </w:r>
    </w:p>
    <w:p w14:paraId="3929F2CA">
      <w:pPr>
        <w:widowControl/>
        <w:spacing w:line="360" w:lineRule="auto"/>
        <w:ind w:firstLine="480"/>
        <w:rPr>
          <w:rFonts w:hint="eastAsia" w:ascii="宋体" w:hAnsi="宋体"/>
          <w:kern w:val="0"/>
          <w:sz w:val="24"/>
          <w:szCs w:val="21"/>
        </w:rPr>
      </w:pPr>
      <w:r>
        <w:rPr>
          <w:rFonts w:hint="eastAsia" w:ascii="宋体" w:hAnsi="宋体"/>
          <w:kern w:val="0"/>
          <w:sz w:val="24"/>
          <w:szCs w:val="21"/>
        </w:rPr>
        <w:t>（10）车辆停放管理：根据学校有关规定，做好所有托管区域内机动车和自行车停车位的停放管理工作。</w:t>
      </w:r>
      <w:r>
        <w:rPr>
          <w:rFonts w:ascii="宋体" w:hAnsi="宋体"/>
          <w:kern w:val="0"/>
          <w:sz w:val="24"/>
          <w:szCs w:val="21"/>
        </w:rPr>
        <w:t>负责托管楼宇周边车棚及非机动车停车区域的卫生保洁、非机动车辆的摆放</w:t>
      </w:r>
      <w:r>
        <w:rPr>
          <w:rFonts w:hint="eastAsia" w:ascii="宋体" w:hAnsi="宋体"/>
          <w:kern w:val="0"/>
          <w:sz w:val="24"/>
          <w:szCs w:val="21"/>
        </w:rPr>
        <w:t>。</w:t>
      </w:r>
    </w:p>
    <w:p w14:paraId="6AF624EC">
      <w:pPr>
        <w:widowControl/>
        <w:spacing w:line="360" w:lineRule="auto"/>
        <w:ind w:firstLine="480"/>
        <w:rPr>
          <w:rFonts w:hint="eastAsia" w:ascii="宋体" w:hAnsi="宋体" w:eastAsia="宋体"/>
          <w:kern w:val="0"/>
          <w:sz w:val="24"/>
          <w:szCs w:val="21"/>
          <w:lang w:eastAsia="zh-CN"/>
        </w:rPr>
      </w:pPr>
      <w:r>
        <w:rPr>
          <w:rFonts w:hint="eastAsia" w:ascii="宋体" w:hAnsi="宋体"/>
          <w:kern w:val="0"/>
          <w:sz w:val="24"/>
          <w:szCs w:val="21"/>
        </w:rPr>
        <w:t>（11）维修服务：负责服务区域内房屋、家具、课桌、讲台、黑板、门窗、窗帘、把手、门锁、铝合金扶手、上课铃、水电管线、开关、各类灯具、路灯、照明设施、桥架、喷泉、环卫、铰链小五金、电风扇、纱窗等设施保洁、清洗、日常维护、维修工作（单件、单项不超过</w:t>
      </w:r>
      <w:r>
        <w:rPr>
          <w:rFonts w:ascii="宋体" w:hAnsi="宋体"/>
          <w:kern w:val="0"/>
          <w:sz w:val="24"/>
          <w:szCs w:val="21"/>
        </w:rPr>
        <w:t>500</w:t>
      </w:r>
      <w:r>
        <w:rPr>
          <w:rFonts w:hint="eastAsia" w:ascii="宋体" w:hAnsi="宋体"/>
          <w:kern w:val="0"/>
          <w:sz w:val="24"/>
          <w:szCs w:val="21"/>
        </w:rPr>
        <w:t>元的维修项目）</w:t>
      </w:r>
      <w:r>
        <w:rPr>
          <w:rFonts w:hint="eastAsia" w:ascii="宋体" w:hAnsi="宋体" w:eastAsia="宋体"/>
          <w:kern w:val="0"/>
          <w:sz w:val="24"/>
          <w:szCs w:val="21"/>
          <w:lang w:eastAsia="zh-CN"/>
        </w:rPr>
        <w:t>。</w:t>
      </w:r>
    </w:p>
    <w:p w14:paraId="1A8763DE">
      <w:pPr>
        <w:widowControl/>
        <w:spacing w:line="360" w:lineRule="auto"/>
        <w:ind w:firstLine="480"/>
        <w:rPr>
          <w:rFonts w:ascii="宋体" w:hAnsi="宋体"/>
          <w:kern w:val="0"/>
          <w:sz w:val="24"/>
          <w:szCs w:val="21"/>
        </w:rPr>
      </w:pPr>
      <w:r>
        <w:rPr>
          <w:rFonts w:hint="eastAsia" w:ascii="宋体" w:hAnsi="宋体"/>
          <w:kern w:val="0"/>
          <w:sz w:val="24"/>
          <w:szCs w:val="21"/>
        </w:rPr>
        <w:t>（12）垃圾清运、垃圾中转站管理：负责辖区室内外垃圾统一收集，集中运送到校区垃圾中转站，负责垃圾中转站的日常管理和保洁，负责校园内所有生活垃圾的清理。</w:t>
      </w:r>
    </w:p>
    <w:p w14:paraId="621F8612">
      <w:pPr>
        <w:widowControl/>
        <w:spacing w:line="360" w:lineRule="auto"/>
        <w:ind w:firstLine="480"/>
        <w:rPr>
          <w:rFonts w:ascii="宋体" w:hAnsi="宋体"/>
          <w:kern w:val="0"/>
          <w:sz w:val="24"/>
          <w:szCs w:val="21"/>
        </w:rPr>
      </w:pPr>
      <w:r>
        <w:rPr>
          <w:rFonts w:hint="eastAsia" w:ascii="宋体" w:hAnsi="宋体"/>
          <w:kern w:val="0"/>
          <w:sz w:val="24"/>
          <w:szCs w:val="21"/>
        </w:rPr>
        <w:t>（13）环境保洁：负责校园内所有环境保洁，灭“四害”（负责配备必要的工具、药剂），化粪池清掏（每半年一次）、窨井（雨水井、污水井）、污水管道清理疏通，损坏井盖、盖板更换，各类违规张贴物、悬挂物清除清理，校园道路保洁，所有建筑物的屋面清理。</w:t>
      </w:r>
    </w:p>
    <w:p w14:paraId="3B922F70">
      <w:pPr>
        <w:widowControl/>
        <w:spacing w:line="360" w:lineRule="auto"/>
        <w:ind w:firstLine="480"/>
        <w:rPr>
          <w:rFonts w:ascii="宋体" w:hAnsi="宋体"/>
          <w:kern w:val="0"/>
          <w:sz w:val="24"/>
          <w:szCs w:val="21"/>
        </w:rPr>
      </w:pPr>
      <w:r>
        <w:rPr>
          <w:rFonts w:hint="eastAsia" w:ascii="宋体" w:hAnsi="宋体"/>
          <w:kern w:val="0"/>
          <w:sz w:val="24"/>
          <w:szCs w:val="21"/>
        </w:rPr>
        <w:t>（14）防洪扫雪：按甲方统一指挥，做好夏季防洪抗台，冬季扫雪以及台阶、楼道等人流密集区防冻防滑以及其它突发事件相关的服务工作。</w:t>
      </w:r>
    </w:p>
    <w:p w14:paraId="6F86B078">
      <w:pPr>
        <w:widowControl/>
        <w:spacing w:line="360" w:lineRule="auto"/>
        <w:ind w:firstLine="480"/>
        <w:rPr>
          <w:rFonts w:hint="eastAsia" w:ascii="宋体" w:hAnsi="宋体"/>
          <w:kern w:val="0"/>
          <w:sz w:val="24"/>
          <w:szCs w:val="21"/>
        </w:rPr>
      </w:pPr>
      <w:r>
        <w:rPr>
          <w:rFonts w:hint="eastAsia" w:ascii="宋体" w:hAnsi="宋体"/>
          <w:kern w:val="0"/>
          <w:sz w:val="24"/>
          <w:szCs w:val="21"/>
        </w:rPr>
        <w:t>（15）档案资料管理：负责房屋、水电、消防、安全、维修、卫生、绿化等各类资料的收集、归档和移交。</w:t>
      </w:r>
    </w:p>
    <w:p w14:paraId="6861514C">
      <w:pPr>
        <w:widowControl/>
        <w:spacing w:line="360" w:lineRule="auto"/>
        <w:ind w:firstLine="480"/>
        <w:rPr>
          <w:rFonts w:ascii="宋体" w:hAnsi="宋体"/>
          <w:kern w:val="0"/>
          <w:sz w:val="24"/>
          <w:szCs w:val="21"/>
        </w:rPr>
      </w:pPr>
      <w:r>
        <w:rPr>
          <w:rFonts w:hint="eastAsia" w:ascii="宋体" w:hAnsi="宋体"/>
          <w:kern w:val="0"/>
          <w:sz w:val="24"/>
          <w:szCs w:val="21"/>
        </w:rPr>
        <w:t>（16）校内资产零星搬运。</w:t>
      </w:r>
    </w:p>
    <w:p w14:paraId="03B8E9E2">
      <w:pPr>
        <w:widowControl/>
        <w:spacing w:line="360" w:lineRule="auto"/>
        <w:ind w:firstLine="480"/>
        <w:rPr>
          <w:rFonts w:hint="eastAsia" w:ascii="宋体" w:hAnsi="宋体"/>
          <w:kern w:val="0"/>
          <w:sz w:val="24"/>
          <w:szCs w:val="21"/>
        </w:rPr>
      </w:pPr>
      <w:r>
        <w:rPr>
          <w:rFonts w:hint="eastAsia" w:ascii="宋体" w:hAnsi="宋体"/>
          <w:kern w:val="0"/>
          <w:sz w:val="24"/>
          <w:szCs w:val="21"/>
        </w:rPr>
        <w:t>（17）其他属于物业管理范围内的管理项目和学校安排的工作。</w:t>
      </w:r>
    </w:p>
    <w:p w14:paraId="534E1BEB">
      <w:pPr>
        <w:widowControl/>
        <w:spacing w:line="360" w:lineRule="auto"/>
        <w:ind w:firstLine="480"/>
        <w:rPr>
          <w:rFonts w:hint="eastAsia" w:ascii="宋体" w:hAnsi="宋体"/>
          <w:kern w:val="0"/>
          <w:sz w:val="24"/>
          <w:szCs w:val="21"/>
        </w:rPr>
      </w:pPr>
      <w:r>
        <w:rPr>
          <w:rFonts w:hint="eastAsia" w:ascii="宋体" w:hAnsi="宋体"/>
          <w:kern w:val="0"/>
          <w:sz w:val="24"/>
          <w:szCs w:val="21"/>
        </w:rPr>
        <w:t>以上各项管理服务工作的考核，按照《江苏海洋大学后勤与基建管理处物业管理考核办法（试行）》执行。</w:t>
      </w:r>
    </w:p>
    <w:p w14:paraId="263E04EB">
      <w:pPr>
        <w:widowControl/>
        <w:spacing w:line="360" w:lineRule="auto"/>
        <w:ind w:firstLine="480" w:firstLineChars="200"/>
        <w:rPr>
          <w:rFonts w:hint="eastAsia" w:ascii="宋体" w:hAnsi="宋体"/>
          <w:b/>
          <w:bCs/>
          <w:kern w:val="0"/>
          <w:sz w:val="24"/>
        </w:rPr>
      </w:pPr>
      <w:r>
        <w:rPr>
          <w:rFonts w:hint="eastAsia" w:ascii="宋体" w:hAnsi="宋体"/>
          <w:b/>
          <w:bCs/>
          <w:kern w:val="0"/>
          <w:sz w:val="24"/>
        </w:rPr>
        <w:t>2.绿化、室外保洁服务内容：</w:t>
      </w:r>
    </w:p>
    <w:p w14:paraId="469F8833">
      <w:pPr>
        <w:widowControl/>
        <w:spacing w:line="360" w:lineRule="auto"/>
        <w:ind w:firstLine="480" w:firstLineChars="200"/>
        <w:rPr>
          <w:rFonts w:hint="eastAsia" w:ascii="宋体" w:hAnsi="宋体"/>
          <w:kern w:val="0"/>
          <w:sz w:val="24"/>
        </w:rPr>
      </w:pPr>
      <w:r>
        <w:rPr>
          <w:rFonts w:hint="eastAsia" w:ascii="宋体" w:hAnsi="宋体"/>
          <w:kern w:val="0"/>
          <w:sz w:val="24"/>
        </w:rPr>
        <w:t>（1）所有绿化地带以及树木、花草、苗木(含年度内新增部分)的标识、养护（浇水、修剪、除草、施肥、保护涂白、各类虫害（含白蚁）防治）等。</w:t>
      </w:r>
    </w:p>
    <w:p w14:paraId="04C2BAE6">
      <w:pPr>
        <w:widowControl/>
        <w:spacing w:line="360" w:lineRule="auto"/>
        <w:ind w:firstLine="480" w:firstLineChars="200"/>
        <w:rPr>
          <w:rFonts w:hint="eastAsia" w:ascii="宋体" w:hAnsi="宋体"/>
          <w:kern w:val="0"/>
          <w:sz w:val="24"/>
        </w:rPr>
      </w:pPr>
      <w:r>
        <w:rPr>
          <w:rFonts w:hint="eastAsia" w:ascii="宋体" w:hAnsi="宋体"/>
          <w:kern w:val="0"/>
          <w:sz w:val="24"/>
        </w:rPr>
        <w:t>（2）所有道路、楼宇周边、公共区域、运动场、体育馆等公共区域的卫生保洁。</w:t>
      </w:r>
    </w:p>
    <w:p w14:paraId="5755AA8C">
      <w:pPr>
        <w:widowControl/>
        <w:spacing w:line="360" w:lineRule="auto"/>
        <w:ind w:firstLine="480" w:firstLineChars="200"/>
        <w:rPr>
          <w:rFonts w:hint="eastAsia" w:ascii="宋体" w:hAnsi="宋体"/>
          <w:kern w:val="0"/>
          <w:sz w:val="24"/>
        </w:rPr>
      </w:pPr>
      <w:r>
        <w:rPr>
          <w:rFonts w:hint="eastAsia" w:ascii="宋体" w:hAnsi="宋体"/>
          <w:kern w:val="0"/>
          <w:sz w:val="24"/>
        </w:rPr>
        <w:t>（3）垃圾中转站的管理。负责垃圾中转站的日常管理和保洁，督促垃圾清运公司及时清运垃圾。负责管辖楼宇的化粪池和校区污水管道清理疏通（化粪池清掏每半年一次）</w:t>
      </w:r>
    </w:p>
    <w:p w14:paraId="51BA4C24">
      <w:pPr>
        <w:widowControl/>
        <w:spacing w:line="360" w:lineRule="auto"/>
        <w:ind w:firstLine="480" w:firstLineChars="200"/>
        <w:rPr>
          <w:rFonts w:hint="eastAsia" w:ascii="宋体" w:hAnsi="宋体"/>
          <w:kern w:val="0"/>
          <w:sz w:val="24"/>
        </w:rPr>
      </w:pPr>
      <w:r>
        <w:rPr>
          <w:rFonts w:hint="eastAsia" w:ascii="宋体" w:hAnsi="宋体"/>
          <w:kern w:val="0"/>
          <w:sz w:val="24"/>
        </w:rPr>
        <w:t>（4）校园环境日常管理。负责清理乱贴、乱挂及各类小广告，校园摊点管理，校园施工许可检查。</w:t>
      </w:r>
    </w:p>
    <w:p w14:paraId="31B01119">
      <w:pPr>
        <w:pStyle w:val="7"/>
        <w:spacing w:line="400" w:lineRule="exact"/>
        <w:ind w:firstLine="480" w:firstLineChars="200"/>
        <w:rPr>
          <w:sz w:val="24"/>
        </w:rPr>
      </w:pPr>
      <w:r>
        <w:rPr>
          <w:rFonts w:hint="eastAsia" w:ascii="宋体" w:hAnsi="宋体"/>
          <w:kern w:val="0"/>
          <w:sz w:val="24"/>
        </w:rPr>
        <w:t xml:space="preserve"> </w:t>
      </w:r>
      <w:r>
        <w:rPr>
          <w:rFonts w:hint="eastAsia" w:ascii="宋体" w:hAnsi="宋体"/>
          <w:b/>
          <w:bCs/>
          <w:kern w:val="0"/>
          <w:sz w:val="24"/>
        </w:rPr>
        <w:t xml:space="preserve"> 3.小型维修：</w:t>
      </w:r>
      <w:r>
        <w:rPr>
          <w:rFonts w:hint="eastAsia" w:ascii="宋体" w:hAnsi="宋体"/>
          <w:kern w:val="0"/>
          <w:sz w:val="24"/>
        </w:rPr>
        <w:t>室内外</w:t>
      </w:r>
      <w:r>
        <w:rPr>
          <w:rFonts w:hint="eastAsia" w:ascii="宋体" w:hAnsi="宋体"/>
          <w:kern w:val="0"/>
          <w:sz w:val="24"/>
          <w:szCs w:val="21"/>
        </w:rPr>
        <w:t>单件或单项维修费用500元（以京东、淘宝商城同类产品价格</w:t>
      </w:r>
    </w:p>
    <w:p w14:paraId="319B22D3">
      <w:pPr>
        <w:spacing w:line="360" w:lineRule="auto"/>
        <w:ind w:firstLine="480" w:firstLineChars="200"/>
        <w:rPr>
          <w:rFonts w:hint="eastAsia" w:ascii="宋体" w:hAnsi="宋体"/>
          <w:b/>
          <w:color w:val="000000"/>
          <w:sz w:val="24"/>
        </w:rPr>
      </w:pPr>
      <w:r>
        <w:rPr>
          <w:rFonts w:hint="eastAsia" w:ascii="宋体" w:hAnsi="宋体"/>
          <w:b/>
          <w:color w:val="000000"/>
          <w:sz w:val="24"/>
        </w:rPr>
        <w:t>三、岗位服务要求及标准</w:t>
      </w:r>
    </w:p>
    <w:p w14:paraId="5F1CFA24">
      <w:pPr>
        <w:widowControl/>
        <w:spacing w:line="360" w:lineRule="auto"/>
        <w:ind w:firstLine="480"/>
        <w:rPr>
          <w:rFonts w:hint="eastAsia" w:ascii="宋体" w:hAnsi="宋体"/>
          <w:kern w:val="0"/>
          <w:sz w:val="24"/>
        </w:rPr>
      </w:pPr>
      <w:r>
        <w:rPr>
          <w:rFonts w:hint="eastAsia" w:ascii="宋体" w:hAnsi="宋体"/>
          <w:b/>
          <w:bCs/>
          <w:kern w:val="0"/>
          <w:sz w:val="24"/>
        </w:rPr>
        <w:t>3.1维修：</w:t>
      </w:r>
    </w:p>
    <w:p w14:paraId="48EC1A9D">
      <w:pPr>
        <w:widowControl/>
        <w:autoSpaceDN w:val="0"/>
        <w:spacing w:line="360" w:lineRule="auto"/>
        <w:ind w:firstLine="480" w:firstLineChars="200"/>
        <w:rPr>
          <w:rFonts w:hint="eastAsia" w:ascii="宋体" w:hAnsi="宋体"/>
          <w:b/>
          <w:bCs/>
          <w:kern w:val="0"/>
          <w:sz w:val="24"/>
        </w:rPr>
      </w:pPr>
      <w:r>
        <w:rPr>
          <w:rFonts w:hint="eastAsia" w:ascii="宋体" w:hAnsi="宋体"/>
          <w:b/>
          <w:bCs/>
          <w:kern w:val="0"/>
          <w:sz w:val="24"/>
        </w:rPr>
        <w:t>1.维修要求</w:t>
      </w:r>
    </w:p>
    <w:p w14:paraId="6E628845">
      <w:pPr>
        <w:widowControl/>
        <w:autoSpaceDN w:val="0"/>
        <w:spacing w:line="360" w:lineRule="auto"/>
        <w:ind w:firstLine="480" w:firstLineChars="200"/>
        <w:rPr>
          <w:rFonts w:ascii="宋体" w:hAnsi="宋体"/>
          <w:bCs/>
          <w:kern w:val="0"/>
          <w:sz w:val="24"/>
        </w:rPr>
      </w:pPr>
      <w:r>
        <w:rPr>
          <w:rFonts w:hint="eastAsia" w:ascii="宋体" w:hAnsi="宋体"/>
          <w:kern w:val="0"/>
          <w:sz w:val="24"/>
        </w:rPr>
        <w:t>（1）紧急抢修项目</w:t>
      </w:r>
      <w:r>
        <w:rPr>
          <w:rFonts w:ascii="宋体" w:hAnsi="宋体"/>
          <w:kern w:val="0"/>
          <w:sz w:val="24"/>
        </w:rPr>
        <w:t>20</w:t>
      </w:r>
      <w:r>
        <w:rPr>
          <w:rFonts w:hint="eastAsia" w:ascii="宋体" w:hAnsi="宋体"/>
          <w:kern w:val="0"/>
          <w:sz w:val="24"/>
        </w:rPr>
        <w:t>分钟到位，水电、门窗、家具等零修当天报修当天完成，小修原则上</w:t>
      </w:r>
      <w:r>
        <w:rPr>
          <w:rFonts w:ascii="宋体" w:hAnsi="宋体"/>
          <w:kern w:val="0"/>
          <w:sz w:val="24"/>
        </w:rPr>
        <w:t>24</w:t>
      </w:r>
      <w:r>
        <w:rPr>
          <w:rFonts w:hint="eastAsia" w:ascii="宋体" w:hAnsi="宋体"/>
          <w:kern w:val="0"/>
          <w:sz w:val="24"/>
        </w:rPr>
        <w:t>小时内修复，大修项目或当天维修有困难的维修项目等特殊情况需作出说明和限时承诺。服务时限不得以节假日和休息时间顺延。（校方预约、雨天筑漏可不受</w:t>
      </w:r>
      <w:r>
        <w:rPr>
          <w:rFonts w:ascii="宋体" w:hAnsi="宋体"/>
          <w:kern w:val="0"/>
          <w:sz w:val="24"/>
        </w:rPr>
        <w:t>2</w:t>
      </w:r>
      <w:r>
        <w:rPr>
          <w:rFonts w:hint="eastAsia" w:ascii="宋体" w:hAnsi="宋体"/>
          <w:kern w:val="0"/>
          <w:sz w:val="24"/>
        </w:rPr>
        <w:t>日限制）。</w:t>
      </w:r>
    </w:p>
    <w:p w14:paraId="58CFDB73">
      <w:pPr>
        <w:widowControl/>
        <w:autoSpaceDN w:val="0"/>
        <w:spacing w:line="360" w:lineRule="auto"/>
        <w:ind w:firstLine="480" w:firstLineChars="200"/>
        <w:rPr>
          <w:rFonts w:ascii="宋体" w:hAnsi="宋体"/>
          <w:kern w:val="0"/>
          <w:sz w:val="24"/>
        </w:rPr>
      </w:pPr>
      <w:r>
        <w:rPr>
          <w:rFonts w:hint="eastAsia" w:ascii="宋体" w:hAnsi="宋体"/>
          <w:kern w:val="0"/>
          <w:sz w:val="24"/>
        </w:rPr>
        <w:t>（2）设立报修电话，开通报修平台，建立报修档案。</w:t>
      </w:r>
    </w:p>
    <w:p w14:paraId="761B0AEF">
      <w:pPr>
        <w:widowControl/>
        <w:autoSpaceDN w:val="0"/>
        <w:spacing w:line="360" w:lineRule="auto"/>
        <w:ind w:firstLine="480" w:firstLineChars="200"/>
        <w:rPr>
          <w:rFonts w:ascii="宋体" w:hAnsi="宋体"/>
          <w:kern w:val="0"/>
          <w:sz w:val="24"/>
        </w:rPr>
      </w:pPr>
      <w:r>
        <w:rPr>
          <w:rFonts w:hint="eastAsia" w:ascii="宋体" w:hAnsi="宋体"/>
          <w:kern w:val="0"/>
          <w:sz w:val="24"/>
        </w:rPr>
        <w:t>（3）专业人员持证上岗，实行</w:t>
      </w:r>
      <w:r>
        <w:rPr>
          <w:rFonts w:ascii="宋体" w:hAnsi="宋体"/>
          <w:kern w:val="0"/>
          <w:sz w:val="24"/>
        </w:rPr>
        <w:t>24</w:t>
      </w:r>
      <w:r>
        <w:rPr>
          <w:rFonts w:hint="eastAsia" w:ascii="宋体" w:hAnsi="宋体"/>
          <w:kern w:val="0"/>
          <w:sz w:val="24"/>
        </w:rPr>
        <w:t>小时值班制度。</w:t>
      </w:r>
    </w:p>
    <w:p w14:paraId="453CC186">
      <w:pPr>
        <w:widowControl/>
        <w:autoSpaceDN w:val="0"/>
        <w:spacing w:line="360" w:lineRule="auto"/>
        <w:ind w:firstLine="480" w:firstLineChars="200"/>
        <w:rPr>
          <w:rFonts w:ascii="宋体" w:hAnsi="宋体"/>
          <w:kern w:val="0"/>
          <w:sz w:val="24"/>
        </w:rPr>
      </w:pPr>
      <w:r>
        <w:rPr>
          <w:rFonts w:hint="eastAsia" w:ascii="宋体" w:hAnsi="宋体"/>
          <w:kern w:val="0"/>
          <w:sz w:val="24"/>
        </w:rPr>
        <w:t>（4）经常性地对辖区内楼宇的公共设施和物品、水电管网的完好情况进行巡查，发现问题应及时处理或修理，每月要全面巡查一次。</w:t>
      </w:r>
    </w:p>
    <w:p w14:paraId="24C88968">
      <w:pPr>
        <w:widowControl/>
        <w:autoSpaceDN w:val="0"/>
        <w:spacing w:line="360" w:lineRule="auto"/>
        <w:ind w:firstLine="480" w:firstLineChars="200"/>
        <w:rPr>
          <w:rFonts w:ascii="宋体" w:hAnsi="宋体"/>
          <w:kern w:val="0"/>
          <w:sz w:val="24"/>
        </w:rPr>
      </w:pPr>
      <w:r>
        <w:rPr>
          <w:rFonts w:hint="eastAsia" w:ascii="宋体" w:hAnsi="宋体"/>
          <w:kern w:val="0"/>
          <w:sz w:val="24"/>
        </w:rPr>
        <w:t>（5）报修手续简便，维修及时，维修材料使用规范；管理人员对维修有验收，返修率低于</w:t>
      </w:r>
      <w:r>
        <w:rPr>
          <w:rFonts w:ascii="宋体" w:hAnsi="宋体"/>
          <w:kern w:val="0"/>
          <w:sz w:val="24"/>
        </w:rPr>
        <w:t>3%</w:t>
      </w:r>
      <w:r>
        <w:rPr>
          <w:rFonts w:hint="eastAsia" w:ascii="宋体" w:hAnsi="宋体"/>
          <w:kern w:val="0"/>
          <w:sz w:val="24"/>
        </w:rPr>
        <w:t>。</w:t>
      </w:r>
    </w:p>
    <w:p w14:paraId="4415217A">
      <w:pPr>
        <w:widowControl/>
        <w:autoSpaceDN w:val="0"/>
        <w:spacing w:line="360" w:lineRule="auto"/>
        <w:ind w:firstLine="480" w:firstLineChars="200"/>
        <w:rPr>
          <w:rFonts w:ascii="宋体" w:hAnsi="宋体"/>
          <w:kern w:val="0"/>
          <w:sz w:val="24"/>
        </w:rPr>
      </w:pPr>
      <w:r>
        <w:rPr>
          <w:rFonts w:hint="eastAsia" w:ascii="宋体" w:hAnsi="宋体"/>
          <w:kern w:val="0"/>
          <w:sz w:val="24"/>
        </w:rPr>
        <w:t>（6）我校实行信息化报修，要求维修人员能使用信息化手段处理报修。</w:t>
      </w:r>
    </w:p>
    <w:p w14:paraId="10F6ECA1">
      <w:pPr>
        <w:widowControl/>
        <w:autoSpaceDN w:val="0"/>
        <w:spacing w:line="360" w:lineRule="auto"/>
        <w:ind w:firstLine="480" w:firstLineChars="200"/>
        <w:rPr>
          <w:rFonts w:ascii="宋体" w:hAnsi="宋体"/>
          <w:b/>
          <w:bCs/>
          <w:kern w:val="0"/>
          <w:sz w:val="24"/>
        </w:rPr>
      </w:pPr>
      <w:r>
        <w:rPr>
          <w:rFonts w:hint="eastAsia" w:ascii="宋体" w:hAnsi="宋体"/>
          <w:b/>
          <w:bCs/>
          <w:kern w:val="0"/>
          <w:sz w:val="24"/>
        </w:rPr>
        <w:t>2.维修标准</w:t>
      </w:r>
    </w:p>
    <w:p w14:paraId="79099EE3">
      <w:pPr>
        <w:widowControl/>
        <w:autoSpaceDN w:val="0"/>
        <w:spacing w:line="360" w:lineRule="auto"/>
        <w:ind w:firstLine="480" w:firstLineChars="200"/>
        <w:rPr>
          <w:rFonts w:ascii="宋体" w:hAnsi="宋体"/>
          <w:kern w:val="0"/>
          <w:sz w:val="24"/>
        </w:rPr>
      </w:pPr>
      <w:r>
        <w:rPr>
          <w:rFonts w:hint="eastAsia" w:ascii="宋体" w:hAnsi="宋体"/>
          <w:kern w:val="0"/>
          <w:sz w:val="24"/>
        </w:rPr>
        <w:t>（1）地面</w:t>
      </w:r>
    </w:p>
    <w:p w14:paraId="73D88AEE">
      <w:pPr>
        <w:widowControl/>
        <w:autoSpaceDN w:val="0"/>
        <w:spacing w:line="360" w:lineRule="auto"/>
        <w:ind w:firstLine="480" w:firstLineChars="200"/>
        <w:rPr>
          <w:rFonts w:ascii="宋体" w:hAnsi="宋体"/>
          <w:kern w:val="0"/>
          <w:sz w:val="24"/>
        </w:rPr>
      </w:pPr>
      <w:r>
        <w:rPr>
          <w:rFonts w:hint="eastAsia" w:ascii="宋体" w:hAnsi="宋体"/>
          <w:kern w:val="0"/>
          <w:sz w:val="24"/>
        </w:rPr>
        <w:t>小修内容：楼面和地面起砂空鼓、影响使用，楼面或地面的块料面层松动的、散水严重破损影响其功能的，应修补；质量标准：普通水泥楼面地面及散维修后应平整、光滑、接槎平顺；</w:t>
      </w:r>
    </w:p>
    <w:p w14:paraId="40BD1B5A">
      <w:pPr>
        <w:widowControl/>
        <w:autoSpaceDN w:val="0"/>
        <w:spacing w:line="360" w:lineRule="auto"/>
        <w:ind w:firstLine="480" w:firstLineChars="200"/>
        <w:rPr>
          <w:rFonts w:ascii="宋体" w:hAnsi="宋体"/>
          <w:kern w:val="0"/>
          <w:sz w:val="24"/>
        </w:rPr>
      </w:pPr>
      <w:r>
        <w:rPr>
          <w:rFonts w:hint="eastAsia" w:ascii="宋体" w:hAnsi="宋体"/>
          <w:kern w:val="0"/>
          <w:sz w:val="24"/>
        </w:rPr>
        <w:t>（2）墙面及顶棚</w:t>
      </w:r>
      <w:r>
        <w:rPr>
          <w:rFonts w:ascii="宋体" w:hAnsi="宋体"/>
          <w:kern w:val="0"/>
          <w:sz w:val="24"/>
        </w:rPr>
        <w:t> </w:t>
      </w:r>
    </w:p>
    <w:p w14:paraId="1ED902D4">
      <w:pPr>
        <w:widowControl/>
        <w:autoSpaceDN w:val="0"/>
        <w:spacing w:line="360" w:lineRule="auto"/>
        <w:ind w:firstLine="480" w:firstLineChars="200"/>
        <w:rPr>
          <w:rFonts w:ascii="宋体" w:hAnsi="宋体"/>
          <w:kern w:val="0"/>
          <w:sz w:val="24"/>
        </w:rPr>
      </w:pPr>
      <w:r>
        <w:rPr>
          <w:rFonts w:hint="eastAsia" w:ascii="宋体" w:hAnsi="宋体"/>
          <w:kern w:val="0"/>
          <w:sz w:val="24"/>
        </w:rPr>
        <w:t>小修内容：内墙及踢脚线抹灰空鼓、剥落的应修补；顶棚石膏板、天花板剥落的应修补；质量标准：修缮后的内墙面应恢复原有使用功能，抹面应接槎平整、不开裂、不空鼓、不起泡、不翘边，面层与基层结合牢固。</w:t>
      </w:r>
      <w:r>
        <w:rPr>
          <w:rFonts w:ascii="宋体" w:hAnsi="宋体"/>
          <w:kern w:val="0"/>
          <w:sz w:val="24"/>
        </w:rPr>
        <w:t> </w:t>
      </w:r>
    </w:p>
    <w:p w14:paraId="65BC3470">
      <w:pPr>
        <w:widowControl/>
        <w:autoSpaceDN w:val="0"/>
        <w:spacing w:line="360" w:lineRule="auto"/>
        <w:ind w:firstLine="480" w:firstLineChars="200"/>
        <w:rPr>
          <w:rFonts w:ascii="宋体" w:hAnsi="宋体"/>
          <w:kern w:val="0"/>
          <w:sz w:val="24"/>
        </w:rPr>
      </w:pPr>
      <w:r>
        <w:rPr>
          <w:rFonts w:hint="eastAsia" w:ascii="宋体" w:hAnsi="宋体"/>
          <w:kern w:val="0"/>
          <w:sz w:val="24"/>
        </w:rPr>
        <w:t>（3）门窗</w:t>
      </w:r>
      <w:r>
        <w:rPr>
          <w:rFonts w:ascii="宋体" w:hAnsi="宋体"/>
          <w:kern w:val="0"/>
          <w:sz w:val="24"/>
        </w:rPr>
        <w:t> </w:t>
      </w:r>
    </w:p>
    <w:p w14:paraId="06344B58">
      <w:pPr>
        <w:widowControl/>
        <w:autoSpaceDN w:val="0"/>
        <w:spacing w:line="360" w:lineRule="auto"/>
        <w:ind w:firstLine="480" w:firstLineChars="200"/>
        <w:rPr>
          <w:rFonts w:ascii="宋体" w:hAnsi="宋体"/>
          <w:kern w:val="0"/>
          <w:sz w:val="24"/>
        </w:rPr>
      </w:pPr>
      <w:r>
        <w:rPr>
          <w:rFonts w:hint="eastAsia" w:ascii="宋体" w:hAnsi="宋体"/>
          <w:kern w:val="0"/>
          <w:sz w:val="24"/>
        </w:rPr>
        <w:t>小修内容：门窗框松动、门窗扇开关不灵活、脱榫、</w:t>
      </w:r>
      <w:r>
        <w:rPr>
          <w:rFonts w:ascii="宋体" w:hAnsi="宋体"/>
          <w:kern w:val="0"/>
          <w:sz w:val="24"/>
        </w:rPr>
        <w:t xml:space="preserve"> </w:t>
      </w:r>
      <w:r>
        <w:rPr>
          <w:rFonts w:hint="eastAsia" w:ascii="宋体" w:hAnsi="宋体"/>
          <w:kern w:val="0"/>
          <w:sz w:val="24"/>
        </w:rPr>
        <w:t>糟朽、开焊、小五金缺损、纱窗更换（含窗框）；质量标准：修后的门窗应开关灵活不松动，框与墙体结合牢固，五金齐全。玻璃装钉牢固，腻子饱满，窗纱绷紧，不露纱头。</w:t>
      </w:r>
      <w:r>
        <w:rPr>
          <w:rFonts w:ascii="宋体" w:hAnsi="宋体"/>
          <w:kern w:val="0"/>
          <w:sz w:val="24"/>
        </w:rPr>
        <w:t> </w:t>
      </w:r>
    </w:p>
    <w:p w14:paraId="5C2EE8CA">
      <w:pPr>
        <w:widowControl/>
        <w:autoSpaceDN w:val="0"/>
        <w:spacing w:line="360" w:lineRule="auto"/>
        <w:ind w:firstLine="480" w:firstLineChars="200"/>
        <w:rPr>
          <w:rFonts w:ascii="宋体" w:hAnsi="宋体"/>
          <w:kern w:val="0"/>
          <w:sz w:val="24"/>
        </w:rPr>
      </w:pPr>
      <w:r>
        <w:rPr>
          <w:rFonts w:hint="eastAsia" w:ascii="宋体" w:hAnsi="宋体"/>
          <w:kern w:val="0"/>
          <w:sz w:val="24"/>
        </w:rPr>
        <w:t>（4）屋面、落水管口、采光井、雨水井等</w:t>
      </w:r>
      <w:r>
        <w:rPr>
          <w:rFonts w:ascii="宋体" w:hAnsi="宋体"/>
          <w:kern w:val="0"/>
          <w:sz w:val="24"/>
        </w:rPr>
        <w:t> </w:t>
      </w:r>
    </w:p>
    <w:p w14:paraId="2500F4AC">
      <w:pPr>
        <w:widowControl/>
        <w:autoSpaceDN w:val="0"/>
        <w:spacing w:line="360" w:lineRule="auto"/>
        <w:ind w:firstLine="480" w:firstLineChars="200"/>
        <w:rPr>
          <w:rFonts w:ascii="宋体" w:hAnsi="宋体"/>
          <w:kern w:val="0"/>
          <w:sz w:val="24"/>
        </w:rPr>
      </w:pPr>
      <w:r>
        <w:rPr>
          <w:rFonts w:hint="eastAsia" w:ascii="宋体" w:hAnsi="宋体"/>
          <w:kern w:val="0"/>
          <w:sz w:val="24"/>
        </w:rPr>
        <w:t>小修内容：每月应将屋面、落水管口及雨水井积存的杂物清扫干净；落水管巡查；质量标准：屋面采光井应清扫干净，雨水井、线路管道井疏通、清掏、巡查、维护，发现损坏盖板及时更换不影响使用。</w:t>
      </w:r>
      <w:r>
        <w:rPr>
          <w:rFonts w:ascii="宋体" w:hAnsi="宋体"/>
          <w:kern w:val="0"/>
          <w:sz w:val="24"/>
        </w:rPr>
        <w:t> </w:t>
      </w:r>
    </w:p>
    <w:p w14:paraId="075177BA">
      <w:pPr>
        <w:widowControl/>
        <w:autoSpaceDN w:val="0"/>
        <w:spacing w:line="360" w:lineRule="auto"/>
        <w:ind w:firstLine="480" w:firstLineChars="200"/>
        <w:rPr>
          <w:rFonts w:ascii="宋体" w:hAnsi="宋体"/>
          <w:kern w:val="0"/>
          <w:sz w:val="24"/>
        </w:rPr>
      </w:pPr>
      <w:r>
        <w:rPr>
          <w:rFonts w:hint="eastAsia" w:ascii="宋体" w:hAnsi="宋体"/>
          <w:kern w:val="0"/>
          <w:sz w:val="24"/>
        </w:rPr>
        <w:t>（5）卫生设备</w:t>
      </w:r>
      <w:r>
        <w:rPr>
          <w:rFonts w:ascii="宋体" w:hAnsi="宋体"/>
          <w:kern w:val="0"/>
          <w:sz w:val="24"/>
        </w:rPr>
        <w:t> </w:t>
      </w:r>
    </w:p>
    <w:p w14:paraId="2413C719">
      <w:pPr>
        <w:widowControl/>
        <w:autoSpaceDN w:val="0"/>
        <w:spacing w:line="360" w:lineRule="auto"/>
        <w:ind w:firstLine="480" w:firstLineChars="200"/>
        <w:rPr>
          <w:rFonts w:ascii="宋体" w:hAnsi="宋体"/>
          <w:kern w:val="0"/>
          <w:sz w:val="24"/>
        </w:rPr>
      </w:pPr>
      <w:r>
        <w:rPr>
          <w:rFonts w:hint="eastAsia" w:ascii="宋体" w:hAnsi="宋体"/>
          <w:kern w:val="0"/>
          <w:sz w:val="24"/>
        </w:rPr>
        <w:t>小修内容：卫生设备及配件残缺的应配齐，破损的应维修；便池感应器维修更换；质量标准：修缮后应做到给排水畅通，各部位零件齐全、灵活、有效，无跑、冒、漏、滴现象，能正常使用。</w:t>
      </w:r>
      <w:r>
        <w:rPr>
          <w:rFonts w:ascii="宋体" w:hAnsi="宋体"/>
          <w:kern w:val="0"/>
          <w:sz w:val="24"/>
        </w:rPr>
        <w:t> </w:t>
      </w:r>
    </w:p>
    <w:p w14:paraId="228A8BDE">
      <w:pPr>
        <w:widowControl/>
        <w:autoSpaceDN w:val="0"/>
        <w:spacing w:line="360" w:lineRule="auto"/>
        <w:ind w:firstLine="480" w:firstLineChars="200"/>
        <w:rPr>
          <w:rFonts w:ascii="宋体" w:hAnsi="宋体"/>
          <w:kern w:val="0"/>
          <w:sz w:val="24"/>
        </w:rPr>
      </w:pPr>
      <w:r>
        <w:rPr>
          <w:rFonts w:hint="eastAsia" w:ascii="宋体" w:hAnsi="宋体"/>
          <w:kern w:val="0"/>
          <w:sz w:val="24"/>
        </w:rPr>
        <w:t>（6）排水管道、化粪池，检查井等</w:t>
      </w:r>
      <w:r>
        <w:rPr>
          <w:rFonts w:ascii="宋体" w:hAnsi="宋体"/>
          <w:kern w:val="0"/>
          <w:sz w:val="24"/>
        </w:rPr>
        <w:t> </w:t>
      </w:r>
    </w:p>
    <w:p w14:paraId="690BF47F">
      <w:pPr>
        <w:widowControl/>
        <w:autoSpaceDN w:val="0"/>
        <w:spacing w:line="360" w:lineRule="auto"/>
        <w:ind w:firstLine="480" w:firstLineChars="200"/>
        <w:rPr>
          <w:rFonts w:ascii="宋体" w:hAnsi="宋体"/>
          <w:kern w:val="0"/>
          <w:sz w:val="24"/>
        </w:rPr>
      </w:pPr>
      <w:r>
        <w:rPr>
          <w:rFonts w:hint="eastAsia" w:ascii="宋体" w:hAnsi="宋体"/>
          <w:kern w:val="0"/>
          <w:sz w:val="24"/>
        </w:rPr>
        <w:t>小修内容：楼房排污管道堵塞，排污不畅通的应疏通；化粪池、检查井的配件残缺应补齐。质量标准：楼房排污管道经疏通后，应达到排污管道畅通，不滴水；化粪池检查井满溢的清掏应清除全部污物，化粪池检查井局部损坏的应修好，</w:t>
      </w:r>
      <w:r>
        <w:rPr>
          <w:rFonts w:ascii="宋体" w:hAnsi="宋体"/>
          <w:kern w:val="0"/>
          <w:sz w:val="24"/>
        </w:rPr>
        <w:t xml:space="preserve"> </w:t>
      </w:r>
      <w:r>
        <w:rPr>
          <w:rFonts w:hint="eastAsia" w:ascii="宋体" w:hAnsi="宋体"/>
          <w:kern w:val="0"/>
          <w:sz w:val="24"/>
        </w:rPr>
        <w:t>达到井体、池体、井圈、井盖、池盖完好。</w:t>
      </w:r>
      <w:r>
        <w:rPr>
          <w:rFonts w:ascii="宋体" w:hAnsi="宋体"/>
          <w:kern w:val="0"/>
          <w:sz w:val="24"/>
        </w:rPr>
        <w:t> </w:t>
      </w:r>
    </w:p>
    <w:p w14:paraId="1B726FBA">
      <w:pPr>
        <w:widowControl/>
        <w:autoSpaceDN w:val="0"/>
        <w:spacing w:line="360" w:lineRule="auto"/>
        <w:ind w:firstLine="480" w:firstLineChars="200"/>
        <w:rPr>
          <w:rFonts w:hint="eastAsia" w:ascii="宋体" w:hAnsi="宋体"/>
          <w:kern w:val="0"/>
          <w:sz w:val="24"/>
        </w:rPr>
      </w:pPr>
      <w:r>
        <w:rPr>
          <w:rFonts w:hint="eastAsia" w:ascii="宋体" w:hAnsi="宋体"/>
          <w:kern w:val="0"/>
          <w:sz w:val="24"/>
        </w:rPr>
        <w:t>（7）其他维修，维修后，可以正常使用，且与周围环境相协调。维修产品的更换，必须是学校正在使用的同类产品。因人为损坏需要收费维修的，由损坏人提供材料，物业负责维修；若损坏人提出现金赔偿，数额由损坏人、物业双方协商确定。</w:t>
      </w:r>
    </w:p>
    <w:p w14:paraId="6D9BDBF5">
      <w:pPr>
        <w:widowControl/>
        <w:autoSpaceDN w:val="0"/>
        <w:spacing w:line="360" w:lineRule="auto"/>
        <w:ind w:firstLine="480" w:firstLineChars="200"/>
        <w:rPr>
          <w:rFonts w:ascii="宋体" w:hAnsi="宋体"/>
          <w:b/>
          <w:bCs/>
          <w:kern w:val="0"/>
          <w:sz w:val="24"/>
        </w:rPr>
      </w:pPr>
      <w:r>
        <w:rPr>
          <w:rFonts w:hint="eastAsia" w:ascii="宋体" w:hAnsi="宋体"/>
          <w:b/>
          <w:bCs/>
          <w:kern w:val="0"/>
          <w:sz w:val="24"/>
        </w:rPr>
        <w:t>3.2值班</w:t>
      </w:r>
    </w:p>
    <w:p w14:paraId="468F6389">
      <w:pPr>
        <w:widowControl/>
        <w:autoSpaceDN w:val="0"/>
        <w:spacing w:line="360" w:lineRule="auto"/>
        <w:ind w:firstLine="480" w:firstLineChars="200"/>
        <w:rPr>
          <w:rFonts w:ascii="宋体" w:hAnsi="宋体"/>
          <w:kern w:val="0"/>
          <w:sz w:val="24"/>
        </w:rPr>
      </w:pPr>
      <w:r>
        <w:rPr>
          <w:rFonts w:ascii="宋体" w:hAnsi="宋体"/>
          <w:b/>
          <w:bCs/>
          <w:kern w:val="0"/>
          <w:sz w:val="24"/>
        </w:rPr>
        <w:t>1</w:t>
      </w:r>
      <w:r>
        <w:rPr>
          <w:rFonts w:hint="eastAsia" w:ascii="宋体" w:hAnsi="宋体"/>
          <w:b/>
          <w:bCs/>
          <w:kern w:val="0"/>
          <w:sz w:val="24"/>
        </w:rPr>
        <w:t>.值班要求</w:t>
      </w:r>
    </w:p>
    <w:p w14:paraId="094AE093">
      <w:pPr>
        <w:widowControl/>
        <w:autoSpaceDN w:val="0"/>
        <w:spacing w:line="360" w:lineRule="auto"/>
        <w:ind w:firstLine="360" w:firstLineChars="150"/>
        <w:rPr>
          <w:rFonts w:ascii="宋体" w:hAnsi="宋体"/>
          <w:kern w:val="0"/>
          <w:sz w:val="24"/>
        </w:rPr>
      </w:pPr>
      <w:r>
        <w:rPr>
          <w:rFonts w:hint="eastAsia" w:ascii="宋体" w:hAnsi="宋体"/>
          <w:kern w:val="0"/>
          <w:sz w:val="24"/>
        </w:rPr>
        <w:t>（1）办公楼宇、高压配电室实行</w:t>
      </w:r>
      <w:r>
        <w:rPr>
          <w:rFonts w:ascii="宋体" w:hAnsi="宋体"/>
          <w:kern w:val="0"/>
          <w:sz w:val="24"/>
        </w:rPr>
        <w:t>24</w:t>
      </w:r>
      <w:r>
        <w:rPr>
          <w:rFonts w:hint="eastAsia" w:ascii="宋体" w:hAnsi="宋体"/>
          <w:kern w:val="0"/>
          <w:sz w:val="24"/>
        </w:rPr>
        <w:t>小时值班制。</w:t>
      </w:r>
    </w:p>
    <w:p w14:paraId="11A7B343">
      <w:pPr>
        <w:widowControl/>
        <w:autoSpaceDN w:val="0"/>
        <w:spacing w:line="360" w:lineRule="auto"/>
        <w:rPr>
          <w:rFonts w:ascii="宋体" w:hAnsi="宋体"/>
          <w:kern w:val="0"/>
          <w:sz w:val="24"/>
        </w:rPr>
      </w:pPr>
      <w:r>
        <w:rPr>
          <w:rFonts w:ascii="宋体" w:hAnsi="宋体"/>
          <w:kern w:val="0"/>
          <w:sz w:val="24"/>
        </w:rPr>
        <w:t xml:space="preserve">  </w:t>
      </w:r>
      <w:r>
        <w:rPr>
          <w:rFonts w:hint="eastAsia" w:ascii="宋体" w:hAnsi="宋体"/>
          <w:kern w:val="0"/>
          <w:sz w:val="24"/>
        </w:rPr>
        <w:t xml:space="preserve"> （2）值班员要求统一着工作装，在指定位置佩带标志，五官端正，仪容仪表得体，精神面貌良好，工作认真负责，站姿端正，坐姿稳重，服务态度主动热情。</w:t>
      </w:r>
    </w:p>
    <w:p w14:paraId="35A88FC1">
      <w:pPr>
        <w:widowControl/>
        <w:autoSpaceDN w:val="0"/>
        <w:spacing w:line="360" w:lineRule="auto"/>
        <w:rPr>
          <w:rFonts w:ascii="宋体" w:hAnsi="宋体"/>
          <w:kern w:val="0"/>
          <w:sz w:val="24"/>
        </w:rPr>
      </w:pPr>
      <w:r>
        <w:rPr>
          <w:rFonts w:ascii="宋体" w:hAnsi="宋体"/>
          <w:kern w:val="0"/>
          <w:sz w:val="24"/>
        </w:rPr>
        <w:t xml:space="preserve">  </w:t>
      </w:r>
      <w:r>
        <w:rPr>
          <w:rFonts w:hint="eastAsia" w:ascii="宋体" w:hAnsi="宋体"/>
          <w:kern w:val="0"/>
          <w:sz w:val="24"/>
        </w:rPr>
        <w:t xml:space="preserve"> （3）熟悉本楼宇基本情况，楼宇辨识率达</w:t>
      </w:r>
      <w:r>
        <w:rPr>
          <w:rFonts w:ascii="宋体" w:hAnsi="宋体"/>
          <w:kern w:val="0"/>
          <w:sz w:val="24"/>
        </w:rPr>
        <w:t>95%</w:t>
      </w:r>
      <w:r>
        <w:rPr>
          <w:rFonts w:hint="eastAsia" w:ascii="宋体" w:hAnsi="宋体"/>
          <w:kern w:val="0"/>
          <w:sz w:val="24"/>
        </w:rPr>
        <w:t>，熟练操作应急事情处理方法，能正确使用灭火器等安全工具。</w:t>
      </w:r>
    </w:p>
    <w:p w14:paraId="73E8FB02">
      <w:pPr>
        <w:widowControl/>
        <w:autoSpaceDN w:val="0"/>
        <w:spacing w:line="360" w:lineRule="auto"/>
        <w:rPr>
          <w:rFonts w:ascii="宋体" w:hAnsi="宋体"/>
          <w:kern w:val="0"/>
          <w:sz w:val="24"/>
        </w:rPr>
      </w:pPr>
      <w:r>
        <w:rPr>
          <w:rFonts w:ascii="宋体" w:hAnsi="宋体"/>
          <w:kern w:val="0"/>
          <w:sz w:val="24"/>
        </w:rPr>
        <w:t xml:space="preserve">  </w:t>
      </w:r>
      <w:r>
        <w:rPr>
          <w:rFonts w:hint="eastAsia" w:ascii="宋体" w:hAnsi="宋体"/>
          <w:kern w:val="0"/>
          <w:sz w:val="24"/>
        </w:rPr>
        <w:t xml:space="preserve"> （4）禁止在值班室及物业辅助用房用电饭煲、电磁炉做饭。</w:t>
      </w:r>
    </w:p>
    <w:p w14:paraId="09EA5387">
      <w:pPr>
        <w:widowControl/>
        <w:autoSpaceDN w:val="0"/>
        <w:spacing w:line="360" w:lineRule="auto"/>
        <w:rPr>
          <w:rFonts w:ascii="宋体" w:hAnsi="宋体"/>
          <w:kern w:val="0"/>
          <w:sz w:val="24"/>
        </w:rPr>
      </w:pPr>
      <w:r>
        <w:rPr>
          <w:rFonts w:ascii="宋体" w:hAnsi="宋体"/>
          <w:kern w:val="0"/>
          <w:sz w:val="24"/>
        </w:rPr>
        <w:t xml:space="preserve">  </w:t>
      </w:r>
      <w:r>
        <w:rPr>
          <w:rFonts w:hint="eastAsia" w:ascii="宋体" w:hAnsi="宋体"/>
          <w:kern w:val="0"/>
          <w:sz w:val="24"/>
        </w:rPr>
        <w:t xml:space="preserve"> （5）遵守劳动纪律，不得脱岗、串岗、做私活。</w:t>
      </w:r>
    </w:p>
    <w:p w14:paraId="24CEE05F">
      <w:pPr>
        <w:widowControl/>
        <w:autoSpaceDN w:val="0"/>
        <w:spacing w:line="360" w:lineRule="auto"/>
        <w:rPr>
          <w:rFonts w:ascii="宋体" w:hAnsi="宋体"/>
          <w:kern w:val="0"/>
          <w:sz w:val="24"/>
        </w:rPr>
      </w:pPr>
      <w:r>
        <w:rPr>
          <w:rFonts w:ascii="宋体" w:hAnsi="宋体"/>
          <w:kern w:val="0"/>
          <w:sz w:val="24"/>
        </w:rPr>
        <w:t xml:space="preserve">  </w:t>
      </w:r>
      <w:r>
        <w:rPr>
          <w:rFonts w:hint="eastAsia" w:ascii="宋体" w:hAnsi="宋体"/>
          <w:kern w:val="0"/>
          <w:sz w:val="24"/>
        </w:rPr>
        <w:t xml:space="preserve"> （6）每天至少</w:t>
      </w:r>
      <w:r>
        <w:rPr>
          <w:rFonts w:ascii="宋体" w:hAnsi="宋体"/>
          <w:kern w:val="0"/>
          <w:sz w:val="24"/>
        </w:rPr>
        <w:t>4</w:t>
      </w:r>
      <w:r>
        <w:rPr>
          <w:rFonts w:hint="eastAsia" w:ascii="宋体" w:hAnsi="宋体"/>
          <w:kern w:val="0"/>
          <w:sz w:val="24"/>
        </w:rPr>
        <w:t>次巡查楼宇。及时登记形成台账，发现问题，及时协调处理。</w:t>
      </w:r>
    </w:p>
    <w:p w14:paraId="68C4B859">
      <w:pPr>
        <w:widowControl/>
        <w:autoSpaceDN w:val="0"/>
        <w:spacing w:line="360" w:lineRule="auto"/>
        <w:rPr>
          <w:rFonts w:ascii="宋体" w:hAnsi="宋体"/>
          <w:kern w:val="0"/>
          <w:sz w:val="24"/>
        </w:rPr>
      </w:pPr>
      <w:r>
        <w:rPr>
          <w:rFonts w:ascii="宋体" w:hAnsi="宋体"/>
          <w:kern w:val="0"/>
          <w:sz w:val="24"/>
        </w:rPr>
        <w:t xml:space="preserve">  </w:t>
      </w:r>
      <w:r>
        <w:rPr>
          <w:rFonts w:hint="eastAsia" w:ascii="宋体" w:hAnsi="宋体"/>
          <w:kern w:val="0"/>
          <w:sz w:val="24"/>
        </w:rPr>
        <w:t xml:space="preserve"> （7）上下班、上下学及人流进出密集时，应在主要门口站岗值班。</w:t>
      </w:r>
    </w:p>
    <w:p w14:paraId="173A6DE5">
      <w:pPr>
        <w:widowControl/>
        <w:autoSpaceDN w:val="0"/>
        <w:spacing w:line="360" w:lineRule="auto"/>
        <w:ind w:firstLine="480" w:firstLineChars="200"/>
        <w:rPr>
          <w:rFonts w:ascii="宋体" w:hAnsi="宋体"/>
          <w:b/>
          <w:bCs/>
          <w:kern w:val="0"/>
          <w:sz w:val="24"/>
        </w:rPr>
      </w:pPr>
      <w:r>
        <w:rPr>
          <w:rFonts w:ascii="宋体" w:hAnsi="宋体"/>
          <w:b/>
          <w:bCs/>
          <w:kern w:val="0"/>
          <w:sz w:val="24"/>
        </w:rPr>
        <w:t>2</w:t>
      </w:r>
      <w:r>
        <w:rPr>
          <w:rFonts w:hint="eastAsia" w:ascii="宋体" w:hAnsi="宋体"/>
          <w:b/>
          <w:bCs/>
          <w:kern w:val="0"/>
          <w:sz w:val="24"/>
        </w:rPr>
        <w:t>.值班职责</w:t>
      </w:r>
    </w:p>
    <w:p w14:paraId="6FB2B193">
      <w:pPr>
        <w:widowControl/>
        <w:autoSpaceDN w:val="0"/>
        <w:spacing w:line="360" w:lineRule="auto"/>
        <w:ind w:firstLine="360" w:firstLineChars="150"/>
        <w:rPr>
          <w:rFonts w:ascii="宋体" w:hAnsi="宋体"/>
          <w:kern w:val="0"/>
          <w:sz w:val="24"/>
        </w:rPr>
      </w:pPr>
      <w:r>
        <w:rPr>
          <w:rFonts w:hint="eastAsia" w:ascii="宋体" w:hAnsi="宋体"/>
          <w:kern w:val="0"/>
          <w:sz w:val="24"/>
        </w:rPr>
        <w:t>（1）负责楼宇各类台账日常登记，维修验收。</w:t>
      </w:r>
    </w:p>
    <w:p w14:paraId="6931A43D">
      <w:pPr>
        <w:widowControl/>
        <w:autoSpaceDN w:val="0"/>
        <w:spacing w:line="360" w:lineRule="auto"/>
        <w:rPr>
          <w:rFonts w:ascii="宋体" w:hAnsi="宋体"/>
          <w:kern w:val="0"/>
          <w:sz w:val="24"/>
        </w:rPr>
      </w:pPr>
      <w:r>
        <w:rPr>
          <w:rFonts w:ascii="宋体" w:hAnsi="宋体"/>
          <w:kern w:val="0"/>
          <w:sz w:val="24"/>
        </w:rPr>
        <w:t xml:space="preserve">  </w:t>
      </w:r>
      <w:r>
        <w:rPr>
          <w:rFonts w:hint="eastAsia" w:ascii="宋体" w:hAnsi="宋体"/>
          <w:kern w:val="0"/>
          <w:sz w:val="24"/>
        </w:rPr>
        <w:t xml:space="preserve"> （2）每日</w:t>
      </w:r>
      <w:r>
        <w:rPr>
          <w:rFonts w:ascii="宋体" w:hAnsi="宋体"/>
          <w:kern w:val="0"/>
          <w:sz w:val="24"/>
        </w:rPr>
        <w:t>8:00</w:t>
      </w:r>
      <w:r>
        <w:rPr>
          <w:rFonts w:hint="eastAsia" w:ascii="宋体" w:hAnsi="宋体"/>
          <w:kern w:val="0"/>
          <w:sz w:val="24"/>
        </w:rPr>
        <w:t>前大厅卫生及值班室卫生保洁。</w:t>
      </w:r>
    </w:p>
    <w:p w14:paraId="2362FD55">
      <w:pPr>
        <w:widowControl/>
        <w:autoSpaceDN w:val="0"/>
        <w:spacing w:line="360" w:lineRule="auto"/>
        <w:ind w:firstLine="120" w:firstLineChars="50"/>
        <w:rPr>
          <w:rFonts w:ascii="宋体" w:hAnsi="宋体"/>
          <w:kern w:val="0"/>
          <w:sz w:val="24"/>
        </w:rPr>
      </w:pPr>
      <w:r>
        <w:rPr>
          <w:rFonts w:ascii="宋体" w:hAnsi="宋体"/>
          <w:kern w:val="0"/>
          <w:sz w:val="24"/>
        </w:rPr>
        <w:t xml:space="preserve">  </w:t>
      </w:r>
      <w:r>
        <w:rPr>
          <w:rFonts w:hint="eastAsia" w:ascii="宋体" w:hAnsi="宋体"/>
          <w:kern w:val="0"/>
          <w:sz w:val="24"/>
        </w:rPr>
        <w:t>（3）不定时资产查验</w:t>
      </w:r>
    </w:p>
    <w:p w14:paraId="4C1469F9">
      <w:pPr>
        <w:widowControl/>
        <w:autoSpaceDN w:val="0"/>
        <w:spacing w:line="360" w:lineRule="auto"/>
        <w:rPr>
          <w:rFonts w:ascii="宋体" w:hAnsi="宋体"/>
          <w:kern w:val="0"/>
          <w:sz w:val="24"/>
        </w:rPr>
      </w:pPr>
      <w:r>
        <w:rPr>
          <w:rFonts w:ascii="宋体" w:hAnsi="宋体"/>
          <w:kern w:val="0"/>
          <w:sz w:val="24"/>
        </w:rPr>
        <w:t xml:space="preserve">  </w:t>
      </w:r>
      <w:r>
        <w:rPr>
          <w:rFonts w:hint="eastAsia" w:ascii="宋体" w:hAnsi="宋体"/>
          <w:kern w:val="0"/>
          <w:sz w:val="24"/>
        </w:rPr>
        <w:t xml:space="preserve"> （4）每周一次卫生检查</w:t>
      </w:r>
    </w:p>
    <w:p w14:paraId="4739646E">
      <w:pPr>
        <w:widowControl/>
        <w:autoSpaceDN w:val="0"/>
        <w:spacing w:line="360" w:lineRule="auto"/>
        <w:rPr>
          <w:rFonts w:hint="eastAsia" w:ascii="宋体" w:hAnsi="宋体"/>
          <w:kern w:val="0"/>
          <w:sz w:val="24"/>
          <w:highlight w:val="yellow"/>
        </w:rPr>
      </w:pPr>
      <w:r>
        <w:rPr>
          <w:rFonts w:ascii="宋体" w:hAnsi="宋体"/>
          <w:kern w:val="0"/>
          <w:sz w:val="24"/>
        </w:rPr>
        <w:t xml:space="preserve"> </w:t>
      </w:r>
      <w:r>
        <w:rPr>
          <w:rFonts w:hint="eastAsia" w:ascii="宋体" w:hAnsi="宋体"/>
          <w:kern w:val="0"/>
          <w:sz w:val="24"/>
        </w:rPr>
        <w:t xml:space="preserve"> </w:t>
      </w:r>
      <w:r>
        <w:rPr>
          <w:rFonts w:ascii="宋体" w:hAnsi="宋体"/>
          <w:kern w:val="0"/>
          <w:sz w:val="24"/>
        </w:rPr>
        <w:t xml:space="preserve"> </w:t>
      </w:r>
      <w:r>
        <w:rPr>
          <w:rFonts w:hint="eastAsia" w:ascii="宋体" w:hAnsi="宋体"/>
          <w:kern w:val="0"/>
          <w:sz w:val="24"/>
        </w:rPr>
        <w:t>（5）校区总表和各楼宇（含宿舍）总表、食堂分表每天查抄一次，其它水表每月查抄统计一次（发现用水量异常及时报告）。</w:t>
      </w:r>
    </w:p>
    <w:p w14:paraId="7A65173D">
      <w:pPr>
        <w:widowControl/>
        <w:autoSpaceDN w:val="0"/>
        <w:spacing w:line="360" w:lineRule="auto"/>
        <w:ind w:firstLine="480" w:firstLineChars="200"/>
        <w:rPr>
          <w:rFonts w:ascii="宋体" w:hAnsi="宋体"/>
          <w:kern w:val="0"/>
          <w:sz w:val="24"/>
        </w:rPr>
      </w:pPr>
      <w:r>
        <w:rPr>
          <w:rFonts w:hint="eastAsia" w:ascii="宋体" w:hAnsi="宋体"/>
          <w:b/>
          <w:bCs/>
          <w:kern w:val="0"/>
          <w:sz w:val="24"/>
        </w:rPr>
        <w:t>3.3保洁</w:t>
      </w:r>
    </w:p>
    <w:tbl>
      <w:tblPr>
        <w:tblStyle w:val="8"/>
        <w:tblW w:w="0" w:type="auto"/>
        <w:tblInd w:w="250" w:type="dxa"/>
        <w:tblLayout w:type="fixed"/>
        <w:tblCellMar>
          <w:top w:w="0" w:type="dxa"/>
          <w:left w:w="108" w:type="dxa"/>
          <w:bottom w:w="0" w:type="dxa"/>
          <w:right w:w="108" w:type="dxa"/>
        </w:tblCellMar>
      </w:tblPr>
      <w:tblGrid>
        <w:gridCol w:w="1134"/>
        <w:gridCol w:w="1843"/>
        <w:gridCol w:w="2126"/>
        <w:gridCol w:w="3969"/>
      </w:tblGrid>
      <w:tr w14:paraId="3B1CA6DD">
        <w:tblPrEx>
          <w:tblCellMar>
            <w:top w:w="0" w:type="dxa"/>
            <w:left w:w="108" w:type="dxa"/>
            <w:bottom w:w="0" w:type="dxa"/>
            <w:right w:w="108" w:type="dxa"/>
          </w:tblCellMar>
        </w:tblPrEx>
        <w:trPr>
          <w:trHeight w:val="540" w:hRule="atLeast"/>
        </w:trPr>
        <w:tc>
          <w:tcPr>
            <w:tcW w:w="1134" w:type="dxa"/>
            <w:tcBorders>
              <w:top w:val="single" w:color="000000" w:sz="4" w:space="0"/>
              <w:left w:val="single" w:color="000000" w:sz="4" w:space="0"/>
              <w:bottom w:val="single" w:color="auto" w:sz="4" w:space="0"/>
              <w:right w:val="single" w:color="auto" w:sz="8" w:space="0"/>
            </w:tcBorders>
            <w:noWrap w:val="0"/>
            <w:vAlign w:val="center"/>
          </w:tcPr>
          <w:p w14:paraId="096F9F0F">
            <w:pPr>
              <w:autoSpaceDN w:val="0"/>
              <w:spacing w:line="360" w:lineRule="auto"/>
              <w:jc w:val="center"/>
              <w:rPr>
                <w:rFonts w:ascii="宋体" w:hAnsi="Calibri" w:cs="宋体"/>
                <w:b/>
                <w:color w:val="000000"/>
                <w:kern w:val="0"/>
                <w:szCs w:val="20"/>
              </w:rPr>
            </w:pPr>
            <w:r>
              <w:rPr>
                <w:rFonts w:hint="eastAsia" w:ascii="宋体" w:hAnsi="Calibri" w:cs="宋体"/>
                <w:b/>
                <w:color w:val="000000"/>
                <w:kern w:val="0"/>
                <w:szCs w:val="20"/>
              </w:rPr>
              <w:t>项目</w:t>
            </w:r>
          </w:p>
        </w:tc>
        <w:tc>
          <w:tcPr>
            <w:tcW w:w="1843" w:type="dxa"/>
            <w:tcBorders>
              <w:top w:val="single" w:color="000000" w:sz="4" w:space="0"/>
              <w:left w:val="nil"/>
              <w:bottom w:val="single" w:color="auto" w:sz="4" w:space="0"/>
              <w:right w:val="single" w:color="000000" w:sz="8" w:space="0"/>
            </w:tcBorders>
            <w:noWrap w:val="0"/>
            <w:vAlign w:val="center"/>
          </w:tcPr>
          <w:p w14:paraId="4ED28313">
            <w:pPr>
              <w:autoSpaceDN w:val="0"/>
              <w:spacing w:line="360" w:lineRule="auto"/>
              <w:jc w:val="center"/>
              <w:rPr>
                <w:rFonts w:ascii="宋体" w:hAnsi="Calibri" w:cs="宋体"/>
                <w:b/>
                <w:color w:val="000000"/>
                <w:kern w:val="0"/>
                <w:szCs w:val="20"/>
              </w:rPr>
            </w:pPr>
            <w:r>
              <w:rPr>
                <w:rFonts w:hint="eastAsia" w:ascii="宋体" w:hAnsi="Calibri" w:cs="宋体"/>
                <w:b/>
                <w:color w:val="000000"/>
                <w:kern w:val="0"/>
                <w:szCs w:val="20"/>
              </w:rPr>
              <w:t>作 业  频  率</w:t>
            </w:r>
          </w:p>
        </w:tc>
        <w:tc>
          <w:tcPr>
            <w:tcW w:w="2126" w:type="dxa"/>
            <w:tcBorders>
              <w:top w:val="single" w:color="auto" w:sz="4" w:space="0"/>
              <w:left w:val="nil"/>
              <w:bottom w:val="single" w:color="auto" w:sz="4" w:space="0"/>
              <w:right w:val="single" w:color="000000" w:sz="8" w:space="0"/>
            </w:tcBorders>
            <w:noWrap w:val="0"/>
            <w:vAlign w:val="center"/>
          </w:tcPr>
          <w:p w14:paraId="0033D414">
            <w:pPr>
              <w:autoSpaceDN w:val="0"/>
              <w:spacing w:line="360" w:lineRule="auto"/>
              <w:jc w:val="center"/>
              <w:rPr>
                <w:rFonts w:ascii="宋体" w:hAnsi="Calibri" w:cs="宋体"/>
                <w:b/>
                <w:color w:val="000000"/>
                <w:kern w:val="0"/>
                <w:szCs w:val="20"/>
              </w:rPr>
            </w:pPr>
            <w:r>
              <w:rPr>
                <w:rFonts w:hint="eastAsia" w:ascii="宋体" w:hAnsi="Calibri" w:cs="宋体"/>
                <w:b/>
                <w:color w:val="000000"/>
                <w:kern w:val="0"/>
                <w:szCs w:val="20"/>
              </w:rPr>
              <w:t>保 洁 范 围</w:t>
            </w:r>
          </w:p>
        </w:tc>
        <w:tc>
          <w:tcPr>
            <w:tcW w:w="3969" w:type="dxa"/>
            <w:tcBorders>
              <w:top w:val="single" w:color="auto" w:sz="4" w:space="0"/>
              <w:left w:val="nil"/>
              <w:bottom w:val="single" w:color="auto" w:sz="4" w:space="0"/>
              <w:right w:val="single" w:color="000000" w:sz="4" w:space="0"/>
            </w:tcBorders>
            <w:noWrap w:val="0"/>
            <w:vAlign w:val="center"/>
          </w:tcPr>
          <w:p w14:paraId="26DF5311">
            <w:pPr>
              <w:autoSpaceDN w:val="0"/>
              <w:spacing w:line="360" w:lineRule="auto"/>
              <w:jc w:val="center"/>
              <w:rPr>
                <w:rFonts w:ascii="宋体" w:hAnsi="Calibri" w:cs="宋体"/>
                <w:b/>
                <w:color w:val="000000"/>
                <w:kern w:val="0"/>
                <w:szCs w:val="20"/>
              </w:rPr>
            </w:pPr>
            <w:r>
              <w:rPr>
                <w:rFonts w:hint="eastAsia" w:ascii="宋体" w:hAnsi="Calibri" w:cs="宋体"/>
                <w:b/>
                <w:color w:val="000000"/>
                <w:kern w:val="0"/>
                <w:szCs w:val="20"/>
              </w:rPr>
              <w:t>服务质量标准</w:t>
            </w:r>
          </w:p>
        </w:tc>
      </w:tr>
      <w:tr w14:paraId="7923F15B">
        <w:tblPrEx>
          <w:tblCellMar>
            <w:top w:w="0" w:type="dxa"/>
            <w:left w:w="108" w:type="dxa"/>
            <w:bottom w:w="0" w:type="dxa"/>
            <w:right w:w="108" w:type="dxa"/>
          </w:tblCellMar>
        </w:tblPrEx>
        <w:trPr>
          <w:trHeight w:val="1021" w:hRule="atLeast"/>
        </w:trPr>
        <w:tc>
          <w:tcPr>
            <w:tcW w:w="1134" w:type="dxa"/>
            <w:vMerge w:val="restart"/>
            <w:tcBorders>
              <w:top w:val="single" w:color="auto" w:sz="4" w:space="0"/>
              <w:left w:val="single" w:color="auto" w:sz="4" w:space="0"/>
              <w:bottom w:val="single" w:color="auto" w:sz="4" w:space="0"/>
              <w:right w:val="single" w:color="auto" w:sz="4" w:space="0"/>
            </w:tcBorders>
            <w:noWrap w:val="0"/>
            <w:vAlign w:val="center"/>
          </w:tcPr>
          <w:p w14:paraId="04D596C5">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公共楼宇</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55CE1474">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每两小时1次，且巡回保洁</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1B76448B">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公共卫生间</w:t>
            </w:r>
          </w:p>
        </w:tc>
        <w:tc>
          <w:tcPr>
            <w:tcW w:w="3969" w:type="dxa"/>
            <w:tcBorders>
              <w:top w:val="single" w:color="auto" w:sz="4" w:space="0"/>
              <w:left w:val="single" w:color="auto" w:sz="4" w:space="0"/>
              <w:bottom w:val="single" w:color="auto" w:sz="4" w:space="0"/>
              <w:right w:val="single" w:color="auto" w:sz="4" w:space="0"/>
            </w:tcBorders>
            <w:noWrap w:val="0"/>
            <w:vAlign w:val="center"/>
          </w:tcPr>
          <w:p w14:paraId="64293F58">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卫生间无异味、厕坑便具洁净无黄渍、镜面、水盆、台面无污点，光亮；纸篓随时清理；</w:t>
            </w:r>
          </w:p>
          <w:p w14:paraId="318B8EC9">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保洁工具与保洁用品要统一放在指定地点；</w:t>
            </w:r>
          </w:p>
        </w:tc>
      </w:tr>
      <w:tr w14:paraId="1348C020">
        <w:tblPrEx>
          <w:tblCellMar>
            <w:top w:w="0" w:type="dxa"/>
            <w:left w:w="108" w:type="dxa"/>
            <w:bottom w:w="0" w:type="dxa"/>
            <w:right w:w="108" w:type="dxa"/>
          </w:tblCellMar>
        </w:tblPrEx>
        <w:trPr>
          <w:trHeight w:val="1642" w:hRule="atLeast"/>
        </w:trPr>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1217FD83">
            <w:pPr>
              <w:autoSpaceDN w:val="0"/>
              <w:spacing w:line="240" w:lineRule="atLeast"/>
              <w:rPr>
                <w:rFonts w:ascii="宋体" w:hAnsi="Calibri" w:cs="宋体"/>
                <w:color w:val="000000"/>
                <w:kern w:val="0"/>
                <w:sz w:val="20"/>
                <w:szCs w:val="20"/>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514ED9C7">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每天2次，且巡回保洁；上午8:00，下午2:00之前完成</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22128B94">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垃圾箱、桶清运，擦拭垃圾桶</w:t>
            </w:r>
          </w:p>
        </w:tc>
        <w:tc>
          <w:tcPr>
            <w:tcW w:w="3969" w:type="dxa"/>
            <w:tcBorders>
              <w:top w:val="single" w:color="auto" w:sz="4" w:space="0"/>
              <w:left w:val="single" w:color="auto" w:sz="4" w:space="0"/>
              <w:bottom w:val="single" w:color="auto" w:sz="4" w:space="0"/>
              <w:right w:val="single" w:color="auto" w:sz="4" w:space="0"/>
            </w:tcBorders>
            <w:noWrap w:val="0"/>
            <w:vAlign w:val="center"/>
          </w:tcPr>
          <w:p w14:paraId="0C2FD899">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垃圾袋装化，减少道路污染；</w:t>
            </w:r>
          </w:p>
          <w:p w14:paraId="77B89D4A">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车走地净；车容车貌保持整洁，设备完好无损；</w:t>
            </w:r>
          </w:p>
          <w:p w14:paraId="0F7B7E65">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垃圾桶、垃圾车外观干净，无污渍、无倾斜、无破损；</w:t>
            </w:r>
          </w:p>
        </w:tc>
      </w:tr>
      <w:tr w14:paraId="604CF30B">
        <w:tblPrEx>
          <w:tblCellMar>
            <w:top w:w="0" w:type="dxa"/>
            <w:left w:w="108" w:type="dxa"/>
            <w:bottom w:w="0" w:type="dxa"/>
            <w:right w:w="108" w:type="dxa"/>
          </w:tblCellMar>
        </w:tblPrEx>
        <w:trPr>
          <w:trHeight w:val="2309" w:hRule="atLeast"/>
        </w:trPr>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700B16B7">
            <w:pPr>
              <w:autoSpaceDN w:val="0"/>
              <w:spacing w:line="240" w:lineRule="atLeast"/>
              <w:rPr>
                <w:rFonts w:ascii="宋体" w:hAnsi="Calibri" w:cs="宋体"/>
                <w:color w:val="000000"/>
                <w:kern w:val="0"/>
                <w:sz w:val="20"/>
                <w:szCs w:val="20"/>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58A3403">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每天保洁2次，且巡回保洁；上午10：30之前，下午4:30之前完成</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41EA45A2">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地面、楼道梯级、台阶、宣传窗、垃圾桶、灯具装饰柱、植物花盆、大小便器、垃圾篓、开水器</w:t>
            </w:r>
          </w:p>
        </w:tc>
        <w:tc>
          <w:tcPr>
            <w:tcW w:w="3969" w:type="dxa"/>
            <w:vMerge w:val="restart"/>
            <w:tcBorders>
              <w:top w:val="single" w:color="auto" w:sz="4" w:space="0"/>
              <w:left w:val="single" w:color="auto" w:sz="4" w:space="0"/>
              <w:bottom w:val="single" w:color="auto" w:sz="4" w:space="0"/>
              <w:right w:val="single" w:color="auto" w:sz="4" w:space="0"/>
            </w:tcBorders>
            <w:noWrap w:val="0"/>
            <w:vAlign w:val="center"/>
          </w:tcPr>
          <w:p w14:paraId="7D5AD91F">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地面无水渍、无污渍，无垃圾，无积尘，光亮</w:t>
            </w:r>
          </w:p>
          <w:p w14:paraId="1A0C387D">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墙面无灰尘、无广告、无污渍，光亮，墙角无蜘蛛网，</w:t>
            </w:r>
          </w:p>
          <w:p w14:paraId="4DC0843C">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公共设施表面无积尘、无污渍、光亮</w:t>
            </w:r>
          </w:p>
          <w:p w14:paraId="616C57C7">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不锈钢表面无手印，无积尘，无污渍、光亮；玻璃上无手印，无积尘，无污渍、明亮</w:t>
            </w:r>
          </w:p>
          <w:p w14:paraId="5F2AAB41">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植物花盆无积尘，无污渍</w:t>
            </w:r>
          </w:p>
          <w:p w14:paraId="2DEF0EC6">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窗台无积尘，</w:t>
            </w:r>
          </w:p>
          <w:p w14:paraId="09B2069C">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开水房(含下水道)达到卫生标准、安全可靠。　</w:t>
            </w:r>
          </w:p>
        </w:tc>
      </w:tr>
      <w:tr w14:paraId="41875D9C">
        <w:tblPrEx>
          <w:tblCellMar>
            <w:top w:w="0" w:type="dxa"/>
            <w:left w:w="108" w:type="dxa"/>
            <w:bottom w:w="0" w:type="dxa"/>
            <w:right w:w="108" w:type="dxa"/>
          </w:tblCellMar>
        </w:tblPrEx>
        <w:trPr>
          <w:trHeight w:val="1680" w:hRule="atLeast"/>
        </w:trPr>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10858625">
            <w:pPr>
              <w:autoSpaceDN w:val="0"/>
              <w:spacing w:line="240" w:lineRule="atLeast"/>
              <w:rPr>
                <w:rFonts w:ascii="宋体" w:hAnsi="Calibri" w:cs="宋体"/>
                <w:color w:val="000000"/>
                <w:kern w:val="0"/>
                <w:sz w:val="20"/>
                <w:szCs w:val="20"/>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AF5C537">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每周保洁1次；</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4A7266ED">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装饰门及门套、踢脚线、配电箱、消防设备、扶手、墙面、天棚、楼道门、窗、灯具及开关等</w:t>
            </w:r>
          </w:p>
        </w:tc>
        <w:tc>
          <w:tcPr>
            <w:tcW w:w="3969" w:type="dxa"/>
            <w:vMerge w:val="continue"/>
            <w:tcBorders>
              <w:top w:val="single" w:color="auto" w:sz="4" w:space="0"/>
              <w:left w:val="single" w:color="auto" w:sz="4" w:space="0"/>
              <w:bottom w:val="single" w:color="auto" w:sz="4" w:space="0"/>
              <w:right w:val="single" w:color="auto" w:sz="4" w:space="0"/>
            </w:tcBorders>
            <w:noWrap w:val="0"/>
            <w:vAlign w:val="center"/>
          </w:tcPr>
          <w:p w14:paraId="64863103">
            <w:pPr>
              <w:autoSpaceDN w:val="0"/>
              <w:spacing w:line="240" w:lineRule="atLeast"/>
              <w:rPr>
                <w:rFonts w:ascii="宋体" w:hAnsi="Calibri" w:cs="宋体"/>
                <w:color w:val="000000"/>
                <w:kern w:val="0"/>
                <w:sz w:val="20"/>
                <w:szCs w:val="20"/>
              </w:rPr>
            </w:pPr>
          </w:p>
        </w:tc>
      </w:tr>
      <w:tr w14:paraId="1860261F">
        <w:tblPrEx>
          <w:tblCellMar>
            <w:top w:w="0" w:type="dxa"/>
            <w:left w:w="108" w:type="dxa"/>
            <w:bottom w:w="0" w:type="dxa"/>
            <w:right w:w="108" w:type="dxa"/>
          </w:tblCellMar>
        </w:tblPrEx>
        <w:trPr>
          <w:trHeight w:val="425" w:hRule="atLeast"/>
        </w:trPr>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3B3E76F2">
            <w:pPr>
              <w:autoSpaceDN w:val="0"/>
              <w:spacing w:line="240" w:lineRule="atLeast"/>
              <w:rPr>
                <w:rFonts w:ascii="宋体" w:hAnsi="Calibri" w:cs="宋体"/>
                <w:color w:val="000000"/>
                <w:kern w:val="0"/>
                <w:sz w:val="20"/>
                <w:szCs w:val="20"/>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5EDF45BF">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每月1次</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6698BC61">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地砖或地面彻底刷洗</w:t>
            </w:r>
          </w:p>
        </w:tc>
        <w:tc>
          <w:tcPr>
            <w:tcW w:w="3969" w:type="dxa"/>
            <w:vMerge w:val="continue"/>
            <w:tcBorders>
              <w:top w:val="single" w:color="auto" w:sz="4" w:space="0"/>
              <w:left w:val="single" w:color="auto" w:sz="4" w:space="0"/>
              <w:bottom w:val="single" w:color="auto" w:sz="4" w:space="0"/>
              <w:right w:val="single" w:color="auto" w:sz="4" w:space="0"/>
            </w:tcBorders>
            <w:noWrap w:val="0"/>
            <w:vAlign w:val="center"/>
          </w:tcPr>
          <w:p w14:paraId="138273B7">
            <w:pPr>
              <w:autoSpaceDN w:val="0"/>
              <w:spacing w:line="240" w:lineRule="atLeast"/>
              <w:rPr>
                <w:rFonts w:ascii="宋体" w:hAnsi="Calibri" w:cs="宋体"/>
                <w:color w:val="000000"/>
                <w:kern w:val="0"/>
                <w:sz w:val="20"/>
                <w:szCs w:val="20"/>
              </w:rPr>
            </w:pPr>
          </w:p>
        </w:tc>
      </w:tr>
      <w:tr w14:paraId="6741C6C5">
        <w:tblPrEx>
          <w:tblCellMar>
            <w:top w:w="0" w:type="dxa"/>
            <w:left w:w="108" w:type="dxa"/>
            <w:bottom w:w="0" w:type="dxa"/>
            <w:right w:w="108" w:type="dxa"/>
          </w:tblCellMar>
        </w:tblPrEx>
        <w:trPr>
          <w:trHeight w:val="1170" w:hRule="atLeast"/>
        </w:trPr>
        <w:tc>
          <w:tcPr>
            <w:tcW w:w="1134" w:type="dxa"/>
            <w:vMerge w:val="restart"/>
            <w:tcBorders>
              <w:top w:val="single" w:color="auto" w:sz="4" w:space="0"/>
              <w:left w:val="single" w:color="auto" w:sz="4" w:space="0"/>
              <w:bottom w:val="single" w:color="auto" w:sz="4" w:space="0"/>
              <w:right w:val="single" w:color="auto" w:sz="4" w:space="0"/>
            </w:tcBorders>
            <w:noWrap w:val="0"/>
            <w:vAlign w:val="center"/>
          </w:tcPr>
          <w:p w14:paraId="2DC51B3E">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教室、会议室、接待室、报告厅、教师休息室、自习室</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0698758">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每日3次</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1C2A95AC">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桌椅、讲台，黑板、地面、踏步、窗台</w:t>
            </w:r>
          </w:p>
        </w:tc>
        <w:tc>
          <w:tcPr>
            <w:tcW w:w="3969" w:type="dxa"/>
            <w:vMerge w:val="restart"/>
            <w:tcBorders>
              <w:top w:val="single" w:color="auto" w:sz="4" w:space="0"/>
              <w:left w:val="single" w:color="auto" w:sz="4" w:space="0"/>
              <w:bottom w:val="single" w:color="auto" w:sz="4" w:space="0"/>
              <w:right w:val="single" w:color="auto" w:sz="4" w:space="0"/>
            </w:tcBorders>
            <w:noWrap w:val="0"/>
            <w:vAlign w:val="center"/>
          </w:tcPr>
          <w:p w14:paraId="20C38ADE">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桌椅、讲台，窗台、黑板、地面、踏步、门楣、门套、墙面、墙角无积尘，光亮；桌斗内无杂质；黑板板面擦净，板槽内无粉末，黑板周围整洁；窗台无积尘，窗帘挂放整齐；室内无异味；捡拾物品及时上交值班员做失物招领，不私自处理。　</w:t>
            </w:r>
          </w:p>
        </w:tc>
      </w:tr>
      <w:tr w14:paraId="4C2BC7EA">
        <w:tblPrEx>
          <w:tblCellMar>
            <w:top w:w="0" w:type="dxa"/>
            <w:left w:w="108" w:type="dxa"/>
            <w:bottom w:w="0" w:type="dxa"/>
            <w:right w:w="108" w:type="dxa"/>
          </w:tblCellMar>
        </w:tblPrEx>
        <w:trPr>
          <w:trHeight w:val="1170" w:hRule="atLeast"/>
        </w:trPr>
        <w:tc>
          <w:tcPr>
            <w:tcW w:w="1134" w:type="dxa"/>
            <w:vMerge w:val="continue"/>
            <w:tcBorders>
              <w:left w:val="single" w:color="auto" w:sz="4" w:space="0"/>
              <w:right w:val="single" w:color="auto" w:sz="4" w:space="0"/>
            </w:tcBorders>
            <w:noWrap w:val="0"/>
            <w:vAlign w:val="center"/>
          </w:tcPr>
          <w:p w14:paraId="7D99B057">
            <w:pPr>
              <w:autoSpaceDN w:val="0"/>
              <w:spacing w:line="240" w:lineRule="atLeast"/>
              <w:rPr>
                <w:rFonts w:hint="eastAsia" w:ascii="宋体" w:hAnsi="Calibri" w:cs="宋体"/>
                <w:color w:val="000000"/>
                <w:kern w:val="0"/>
                <w:sz w:val="20"/>
                <w:szCs w:val="20"/>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DFF03B4">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每日一次</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553BDEE1">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门楣、门套、踢脚线、扶手、</w:t>
            </w:r>
          </w:p>
        </w:tc>
        <w:tc>
          <w:tcPr>
            <w:tcW w:w="3969" w:type="dxa"/>
            <w:vMerge w:val="continue"/>
            <w:tcBorders>
              <w:left w:val="single" w:color="auto" w:sz="4" w:space="0"/>
              <w:right w:val="single" w:color="auto" w:sz="4" w:space="0"/>
            </w:tcBorders>
            <w:noWrap w:val="0"/>
            <w:vAlign w:val="center"/>
          </w:tcPr>
          <w:p w14:paraId="47457828">
            <w:pPr>
              <w:autoSpaceDN w:val="0"/>
              <w:spacing w:line="240" w:lineRule="atLeast"/>
              <w:rPr>
                <w:rFonts w:hint="eastAsia" w:ascii="宋体" w:hAnsi="Calibri" w:cs="宋体"/>
                <w:color w:val="000000"/>
                <w:kern w:val="0"/>
                <w:sz w:val="20"/>
                <w:szCs w:val="20"/>
              </w:rPr>
            </w:pPr>
          </w:p>
        </w:tc>
      </w:tr>
      <w:tr w14:paraId="73132CAA">
        <w:tblPrEx>
          <w:tblCellMar>
            <w:top w:w="0" w:type="dxa"/>
            <w:left w:w="108" w:type="dxa"/>
            <w:bottom w:w="0" w:type="dxa"/>
            <w:right w:w="108" w:type="dxa"/>
          </w:tblCellMar>
        </w:tblPrEx>
        <w:trPr>
          <w:trHeight w:val="499" w:hRule="atLeast"/>
        </w:trPr>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535817FE">
            <w:pPr>
              <w:autoSpaceDN w:val="0"/>
              <w:spacing w:line="240" w:lineRule="atLeast"/>
              <w:rPr>
                <w:rFonts w:ascii="宋体" w:hAnsi="Calibri" w:cs="宋体"/>
                <w:color w:val="000000"/>
                <w:kern w:val="0"/>
                <w:sz w:val="20"/>
                <w:szCs w:val="20"/>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A3F2247">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每周1次</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6B1BCB9E">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楼道门窗、墙面、墙角、天棚、灯具、开关、设备（有会议随时保洁）</w:t>
            </w:r>
          </w:p>
        </w:tc>
        <w:tc>
          <w:tcPr>
            <w:tcW w:w="3969" w:type="dxa"/>
            <w:vMerge w:val="continue"/>
            <w:tcBorders>
              <w:top w:val="single" w:color="auto" w:sz="4" w:space="0"/>
              <w:left w:val="single" w:color="auto" w:sz="4" w:space="0"/>
              <w:bottom w:val="single" w:color="auto" w:sz="4" w:space="0"/>
              <w:right w:val="single" w:color="auto" w:sz="4" w:space="0"/>
            </w:tcBorders>
            <w:noWrap w:val="0"/>
            <w:vAlign w:val="center"/>
          </w:tcPr>
          <w:p w14:paraId="29BA717A">
            <w:pPr>
              <w:autoSpaceDN w:val="0"/>
              <w:spacing w:line="240" w:lineRule="atLeast"/>
              <w:rPr>
                <w:rFonts w:ascii="宋体" w:hAnsi="Calibri" w:cs="宋体"/>
                <w:color w:val="000000"/>
                <w:kern w:val="0"/>
                <w:sz w:val="20"/>
                <w:szCs w:val="20"/>
              </w:rPr>
            </w:pPr>
          </w:p>
        </w:tc>
      </w:tr>
      <w:tr w14:paraId="7806A4D6">
        <w:tblPrEx>
          <w:tblCellMar>
            <w:top w:w="0" w:type="dxa"/>
            <w:left w:w="108" w:type="dxa"/>
            <w:bottom w:w="0" w:type="dxa"/>
            <w:right w:w="108" w:type="dxa"/>
          </w:tblCellMar>
        </w:tblPrEx>
        <w:trPr>
          <w:trHeight w:val="499" w:hRule="atLeast"/>
        </w:trPr>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4FE7EE8E">
            <w:pPr>
              <w:autoSpaceDN w:val="0"/>
              <w:spacing w:line="240" w:lineRule="atLeast"/>
              <w:rPr>
                <w:rFonts w:ascii="宋体" w:hAnsi="Calibri" w:cs="宋体"/>
                <w:color w:val="000000"/>
                <w:kern w:val="0"/>
                <w:sz w:val="20"/>
                <w:szCs w:val="20"/>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03F512CB">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每两周1次</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4CB9C831">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窗玻璃</w:t>
            </w:r>
          </w:p>
        </w:tc>
        <w:tc>
          <w:tcPr>
            <w:tcW w:w="3969" w:type="dxa"/>
            <w:vMerge w:val="continue"/>
            <w:tcBorders>
              <w:top w:val="single" w:color="auto" w:sz="4" w:space="0"/>
              <w:left w:val="single" w:color="auto" w:sz="4" w:space="0"/>
              <w:bottom w:val="single" w:color="auto" w:sz="4" w:space="0"/>
              <w:right w:val="single" w:color="auto" w:sz="4" w:space="0"/>
            </w:tcBorders>
            <w:noWrap w:val="0"/>
            <w:vAlign w:val="center"/>
          </w:tcPr>
          <w:p w14:paraId="51677A41">
            <w:pPr>
              <w:autoSpaceDN w:val="0"/>
              <w:spacing w:line="240" w:lineRule="atLeast"/>
              <w:rPr>
                <w:rFonts w:ascii="宋体" w:hAnsi="Calibri" w:cs="宋体"/>
                <w:color w:val="000000"/>
                <w:kern w:val="0"/>
                <w:sz w:val="20"/>
                <w:szCs w:val="20"/>
              </w:rPr>
            </w:pPr>
          </w:p>
        </w:tc>
      </w:tr>
      <w:tr w14:paraId="4EEB1648">
        <w:tblPrEx>
          <w:tblCellMar>
            <w:top w:w="0" w:type="dxa"/>
            <w:left w:w="108" w:type="dxa"/>
            <w:bottom w:w="0" w:type="dxa"/>
            <w:right w:w="108" w:type="dxa"/>
          </w:tblCellMar>
        </w:tblPrEx>
        <w:trPr>
          <w:trHeight w:val="3893" w:hRule="atLeast"/>
        </w:trPr>
        <w:tc>
          <w:tcPr>
            <w:tcW w:w="1134" w:type="dxa"/>
            <w:tcBorders>
              <w:top w:val="single" w:color="auto" w:sz="4" w:space="0"/>
              <w:left w:val="single" w:color="auto" w:sz="4" w:space="0"/>
              <w:bottom w:val="single" w:color="auto" w:sz="4" w:space="0"/>
              <w:right w:val="single" w:color="auto" w:sz="4" w:space="0"/>
            </w:tcBorders>
            <w:noWrap w:val="0"/>
            <w:vAlign w:val="center"/>
          </w:tcPr>
          <w:p w14:paraId="2DB38FC4">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道路、广场保洁</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6A56D4C9">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每天2次，且巡回保洁</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0BC9E34A">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7:30、13:30之前完成各大楼前及校园主要道路保洁工作，随后接着完成其他保洁，</w:t>
            </w:r>
          </w:p>
          <w:p w14:paraId="57D9D731">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垃圾桶（箱）内垃圾集中清运至垃圾中转站，做到日产日清；</w:t>
            </w:r>
          </w:p>
          <w:p w14:paraId="563AEC64">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重大活动期间实施道路冲洗保湿；</w:t>
            </w:r>
          </w:p>
          <w:p w14:paraId="35C2D6C2">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遇大雪或暴雪时及时组织相关人员共同清扫。</w:t>
            </w:r>
          </w:p>
        </w:tc>
        <w:tc>
          <w:tcPr>
            <w:tcW w:w="3969" w:type="dxa"/>
            <w:tcBorders>
              <w:top w:val="single" w:color="auto" w:sz="4" w:space="0"/>
              <w:left w:val="single" w:color="auto" w:sz="4" w:space="0"/>
              <w:bottom w:val="single" w:color="auto" w:sz="4" w:space="0"/>
              <w:right w:val="single" w:color="auto" w:sz="4" w:space="0"/>
            </w:tcBorders>
            <w:noWrap w:val="0"/>
            <w:vAlign w:val="center"/>
          </w:tcPr>
          <w:p w14:paraId="71F84B51">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保持道路全天整洁干净，达到“九无”(无果皮、无纸屑、无塑膜、无痰迹、无污水、无暴露垃圾、无烟头、无乱张贴、路牙无泥沙)；“四净”(路面净、果皮箱净、树穴绿化带净、地下通道净)“一通”(下水道口通)</w:t>
            </w:r>
          </w:p>
          <w:p w14:paraId="4E88BF08">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雨雪天气时，保证路面不积水、少结冰（中、大雪以上保证道路畅通）；上下班前，完成门口、楼梯防滑设施铺设　</w:t>
            </w:r>
          </w:p>
        </w:tc>
      </w:tr>
      <w:tr w14:paraId="775AC536">
        <w:tblPrEx>
          <w:tblCellMar>
            <w:top w:w="0" w:type="dxa"/>
            <w:left w:w="108" w:type="dxa"/>
            <w:bottom w:w="0" w:type="dxa"/>
            <w:right w:w="108" w:type="dxa"/>
          </w:tblCellMar>
        </w:tblPrEx>
        <w:trPr>
          <w:trHeight w:val="499" w:hRule="atLeast"/>
        </w:trPr>
        <w:tc>
          <w:tcPr>
            <w:tcW w:w="1134" w:type="dxa"/>
            <w:tcBorders>
              <w:top w:val="single" w:color="auto" w:sz="4" w:space="0"/>
              <w:left w:val="single" w:color="auto" w:sz="4" w:space="0"/>
              <w:bottom w:val="single" w:color="auto" w:sz="4" w:space="0"/>
              <w:right w:val="single" w:color="auto" w:sz="4" w:space="0"/>
            </w:tcBorders>
            <w:noWrap w:val="0"/>
            <w:vAlign w:val="center"/>
          </w:tcPr>
          <w:p w14:paraId="36BCC4EE">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绿化带</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F0967A5">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每天一次</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5DFEAEE4">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绿篱、草坪、树丛等</w:t>
            </w:r>
          </w:p>
        </w:tc>
        <w:tc>
          <w:tcPr>
            <w:tcW w:w="3969" w:type="dxa"/>
            <w:tcBorders>
              <w:top w:val="single" w:color="auto" w:sz="4" w:space="0"/>
              <w:left w:val="single" w:color="auto" w:sz="4" w:space="0"/>
              <w:bottom w:val="single" w:color="auto" w:sz="4" w:space="0"/>
              <w:right w:val="single" w:color="auto" w:sz="4" w:space="0"/>
            </w:tcBorders>
            <w:noWrap w:val="0"/>
            <w:vAlign w:val="center"/>
          </w:tcPr>
          <w:p w14:paraId="3722CB14">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无白色垃圾、树叶、瓦砾石块等建筑垃圾，无焚烧垃圾、树叶等现象</w:t>
            </w:r>
          </w:p>
        </w:tc>
      </w:tr>
      <w:tr w14:paraId="60FEF1FF">
        <w:tblPrEx>
          <w:tblCellMar>
            <w:top w:w="0" w:type="dxa"/>
            <w:left w:w="108" w:type="dxa"/>
            <w:bottom w:w="0" w:type="dxa"/>
            <w:right w:w="108" w:type="dxa"/>
          </w:tblCellMar>
        </w:tblPrEx>
        <w:trPr>
          <w:trHeight w:val="765" w:hRule="atLeast"/>
        </w:trPr>
        <w:tc>
          <w:tcPr>
            <w:tcW w:w="1134" w:type="dxa"/>
            <w:tcBorders>
              <w:top w:val="single" w:color="auto" w:sz="4" w:space="0"/>
              <w:left w:val="single" w:color="auto" w:sz="4" w:space="0"/>
              <w:bottom w:val="single" w:color="auto" w:sz="4" w:space="0"/>
              <w:right w:val="single" w:color="auto" w:sz="4" w:space="0"/>
            </w:tcBorders>
            <w:noWrap w:val="0"/>
            <w:vAlign w:val="center"/>
          </w:tcPr>
          <w:p w14:paraId="1C62A565">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廊庭、庭院</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951DC9A">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每天一次，且巡回保洁</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7195DB4B">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廊庭走廊、树池、树坑座椅、室外排椅、亲水平台、庭步等</w:t>
            </w:r>
          </w:p>
        </w:tc>
        <w:tc>
          <w:tcPr>
            <w:tcW w:w="3969" w:type="dxa"/>
            <w:tcBorders>
              <w:top w:val="single" w:color="auto" w:sz="4" w:space="0"/>
              <w:left w:val="single" w:color="auto" w:sz="4" w:space="0"/>
              <w:bottom w:val="single" w:color="auto" w:sz="4" w:space="0"/>
              <w:right w:val="single" w:color="auto" w:sz="4" w:space="0"/>
            </w:tcBorders>
            <w:noWrap w:val="0"/>
            <w:vAlign w:val="center"/>
          </w:tcPr>
          <w:p w14:paraId="6A047978">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椅面无灰尘，周边无垃圾</w:t>
            </w:r>
          </w:p>
        </w:tc>
      </w:tr>
      <w:tr w14:paraId="27C38B0B">
        <w:tblPrEx>
          <w:tblCellMar>
            <w:top w:w="0" w:type="dxa"/>
            <w:left w:w="108" w:type="dxa"/>
            <w:bottom w:w="0" w:type="dxa"/>
            <w:right w:w="108" w:type="dxa"/>
          </w:tblCellMar>
        </w:tblPrEx>
        <w:trPr>
          <w:trHeight w:val="720" w:hRule="atLeast"/>
        </w:trPr>
        <w:tc>
          <w:tcPr>
            <w:tcW w:w="1134" w:type="dxa"/>
            <w:vMerge w:val="restart"/>
            <w:tcBorders>
              <w:top w:val="single" w:color="auto" w:sz="4" w:space="0"/>
              <w:left w:val="single" w:color="auto" w:sz="4" w:space="0"/>
              <w:bottom w:val="single" w:color="auto" w:sz="4" w:space="0"/>
              <w:right w:val="single" w:color="auto" w:sz="4" w:space="0"/>
            </w:tcBorders>
            <w:noWrap w:val="0"/>
            <w:vAlign w:val="center"/>
          </w:tcPr>
          <w:p w14:paraId="29ACE36F">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化粪池、窨井、雨水井、管线井、水表井</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0E69AC83">
            <w:pPr>
              <w:autoSpaceDN w:val="0"/>
              <w:spacing w:line="240" w:lineRule="atLeast"/>
              <w:jc w:val="center"/>
              <w:rPr>
                <w:rFonts w:ascii="宋体" w:hAnsi="Calibri" w:cs="宋体"/>
                <w:color w:val="000000"/>
                <w:kern w:val="0"/>
                <w:sz w:val="20"/>
                <w:szCs w:val="20"/>
              </w:rPr>
            </w:pPr>
            <w:r>
              <w:rPr>
                <w:rFonts w:hint="eastAsia" w:ascii="宋体" w:hAnsi="Calibri" w:cs="宋体"/>
                <w:color w:val="000000"/>
                <w:kern w:val="0"/>
                <w:sz w:val="20"/>
                <w:szCs w:val="20"/>
              </w:rPr>
              <w:t>每月一次</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02912984">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窨井、雨水井、屋面、雨水井、管道井等清理</w:t>
            </w:r>
          </w:p>
        </w:tc>
        <w:tc>
          <w:tcPr>
            <w:tcW w:w="3969" w:type="dxa"/>
            <w:tcBorders>
              <w:top w:val="single" w:color="auto" w:sz="4" w:space="0"/>
              <w:left w:val="single" w:color="auto" w:sz="4" w:space="0"/>
              <w:bottom w:val="single" w:color="auto" w:sz="4" w:space="0"/>
              <w:right w:val="single" w:color="auto" w:sz="4" w:space="0"/>
            </w:tcBorders>
            <w:noWrap w:val="0"/>
            <w:vAlign w:val="center"/>
          </w:tcPr>
          <w:p w14:paraId="2E3DD93A">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窨井、雨水井无杂物，下水排放畅通，道路无积水；</w:t>
            </w:r>
          </w:p>
          <w:p w14:paraId="4434E559">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损坏盖板及时更换</w:t>
            </w:r>
          </w:p>
        </w:tc>
      </w:tr>
      <w:tr w14:paraId="1D6FD970">
        <w:tblPrEx>
          <w:tblCellMar>
            <w:top w:w="0" w:type="dxa"/>
            <w:left w:w="108" w:type="dxa"/>
            <w:bottom w:w="0" w:type="dxa"/>
            <w:right w:w="108" w:type="dxa"/>
          </w:tblCellMar>
        </w:tblPrEx>
        <w:trPr>
          <w:trHeight w:val="499" w:hRule="atLeast"/>
        </w:trPr>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6E1CE625">
            <w:pPr>
              <w:autoSpaceDN w:val="0"/>
              <w:spacing w:line="240" w:lineRule="atLeast"/>
              <w:rPr>
                <w:rFonts w:ascii="宋体" w:hAnsi="Calibri" w:cs="宋体"/>
                <w:color w:val="000000"/>
                <w:kern w:val="0"/>
                <w:sz w:val="20"/>
                <w:szCs w:val="20"/>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F023636">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每半年一次</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7A10E3B5">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化粪池清掏</w:t>
            </w:r>
          </w:p>
        </w:tc>
        <w:tc>
          <w:tcPr>
            <w:tcW w:w="3969" w:type="dxa"/>
            <w:tcBorders>
              <w:top w:val="single" w:color="auto" w:sz="4" w:space="0"/>
              <w:left w:val="single" w:color="auto" w:sz="4" w:space="0"/>
              <w:bottom w:val="single" w:color="auto" w:sz="4" w:space="0"/>
              <w:right w:val="single" w:color="auto" w:sz="4" w:space="0"/>
            </w:tcBorders>
            <w:noWrap w:val="0"/>
            <w:vAlign w:val="center"/>
          </w:tcPr>
          <w:p w14:paraId="1937E2FB">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日常无粪便堵塞或溢出现象，发现后，及时清掏，保证污水管道畅通 ；损坏盖板及时更换</w:t>
            </w:r>
          </w:p>
        </w:tc>
      </w:tr>
      <w:tr w14:paraId="6D7ADF63">
        <w:tblPrEx>
          <w:tblCellMar>
            <w:top w:w="0" w:type="dxa"/>
            <w:left w:w="108" w:type="dxa"/>
            <w:bottom w:w="0" w:type="dxa"/>
            <w:right w:w="108" w:type="dxa"/>
          </w:tblCellMar>
        </w:tblPrEx>
        <w:trPr>
          <w:trHeight w:val="945" w:hRule="atLeast"/>
        </w:trPr>
        <w:tc>
          <w:tcPr>
            <w:tcW w:w="1134" w:type="dxa"/>
            <w:vMerge w:val="restart"/>
            <w:tcBorders>
              <w:top w:val="single" w:color="auto" w:sz="4" w:space="0"/>
              <w:left w:val="single" w:color="auto" w:sz="4" w:space="0"/>
              <w:bottom w:val="single" w:color="auto" w:sz="4" w:space="0"/>
              <w:right w:val="single" w:color="auto" w:sz="4" w:space="0"/>
            </w:tcBorders>
            <w:noWrap w:val="0"/>
            <w:vAlign w:val="center"/>
          </w:tcPr>
          <w:p w14:paraId="3F9D58F4">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除四害消杀</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01E6149">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每日1次</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40A56B79">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 xml:space="preserve">四月中下旬至十一月上旬，公共卫生间灭蚊蝇工作   </w:t>
            </w:r>
          </w:p>
        </w:tc>
        <w:tc>
          <w:tcPr>
            <w:tcW w:w="3969" w:type="dxa"/>
            <w:vMerge w:val="restart"/>
            <w:tcBorders>
              <w:top w:val="single" w:color="auto" w:sz="4" w:space="0"/>
              <w:left w:val="single" w:color="auto" w:sz="4" w:space="0"/>
              <w:bottom w:val="single" w:color="auto" w:sz="4" w:space="0"/>
              <w:right w:val="single" w:color="auto" w:sz="4" w:space="0"/>
            </w:tcBorders>
            <w:noWrap w:val="0"/>
            <w:vAlign w:val="center"/>
          </w:tcPr>
          <w:p w14:paraId="31080295">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国家爱卫会标准</w:t>
            </w:r>
          </w:p>
        </w:tc>
      </w:tr>
      <w:tr w14:paraId="3E857B14">
        <w:tblPrEx>
          <w:tblCellMar>
            <w:top w:w="0" w:type="dxa"/>
            <w:left w:w="108" w:type="dxa"/>
            <w:bottom w:w="0" w:type="dxa"/>
            <w:right w:w="108" w:type="dxa"/>
          </w:tblCellMar>
        </w:tblPrEx>
        <w:trPr>
          <w:trHeight w:val="499" w:hRule="atLeast"/>
        </w:trPr>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15186898">
            <w:pPr>
              <w:autoSpaceDN w:val="0"/>
              <w:spacing w:line="240" w:lineRule="atLeast"/>
              <w:rPr>
                <w:rFonts w:ascii="宋体" w:hAnsi="Calibri" w:cs="宋体"/>
                <w:color w:val="000000"/>
                <w:kern w:val="0"/>
                <w:sz w:val="20"/>
                <w:szCs w:val="20"/>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41654EB">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每周1次</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59647820">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垃圾中转站</w:t>
            </w:r>
          </w:p>
        </w:tc>
        <w:tc>
          <w:tcPr>
            <w:tcW w:w="3969" w:type="dxa"/>
            <w:vMerge w:val="continue"/>
            <w:tcBorders>
              <w:top w:val="single" w:color="auto" w:sz="4" w:space="0"/>
              <w:left w:val="single" w:color="auto" w:sz="4" w:space="0"/>
              <w:bottom w:val="single" w:color="auto" w:sz="4" w:space="0"/>
              <w:right w:val="single" w:color="auto" w:sz="4" w:space="0"/>
            </w:tcBorders>
            <w:noWrap w:val="0"/>
            <w:vAlign w:val="center"/>
          </w:tcPr>
          <w:p w14:paraId="71D5108B">
            <w:pPr>
              <w:autoSpaceDN w:val="0"/>
              <w:spacing w:line="240" w:lineRule="atLeast"/>
              <w:rPr>
                <w:rFonts w:ascii="宋体" w:hAnsi="Calibri" w:cs="宋体"/>
                <w:color w:val="000000"/>
                <w:kern w:val="0"/>
                <w:sz w:val="20"/>
                <w:szCs w:val="20"/>
              </w:rPr>
            </w:pPr>
          </w:p>
        </w:tc>
      </w:tr>
      <w:tr w14:paraId="0D2601E4">
        <w:tblPrEx>
          <w:tblCellMar>
            <w:top w:w="0" w:type="dxa"/>
            <w:left w:w="108" w:type="dxa"/>
            <w:bottom w:w="0" w:type="dxa"/>
            <w:right w:w="108" w:type="dxa"/>
          </w:tblCellMar>
        </w:tblPrEx>
        <w:trPr>
          <w:trHeight w:val="499" w:hRule="atLeast"/>
        </w:trPr>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7C71FB31">
            <w:pPr>
              <w:autoSpaceDN w:val="0"/>
              <w:spacing w:line="240" w:lineRule="atLeast"/>
              <w:rPr>
                <w:rFonts w:ascii="宋体" w:hAnsi="Calibri" w:cs="宋体"/>
                <w:color w:val="000000"/>
                <w:kern w:val="0"/>
                <w:sz w:val="20"/>
                <w:szCs w:val="20"/>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A0D7065">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每月一次</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67A471D0">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校园公共区域消杀</w:t>
            </w:r>
          </w:p>
        </w:tc>
        <w:tc>
          <w:tcPr>
            <w:tcW w:w="3969" w:type="dxa"/>
            <w:vMerge w:val="continue"/>
            <w:tcBorders>
              <w:top w:val="single" w:color="auto" w:sz="4" w:space="0"/>
              <w:left w:val="single" w:color="auto" w:sz="4" w:space="0"/>
              <w:bottom w:val="single" w:color="auto" w:sz="4" w:space="0"/>
              <w:right w:val="single" w:color="auto" w:sz="4" w:space="0"/>
            </w:tcBorders>
            <w:noWrap w:val="0"/>
            <w:vAlign w:val="center"/>
          </w:tcPr>
          <w:p w14:paraId="7F0C5F5E">
            <w:pPr>
              <w:autoSpaceDN w:val="0"/>
              <w:spacing w:line="240" w:lineRule="atLeast"/>
              <w:rPr>
                <w:rFonts w:ascii="宋体" w:hAnsi="Calibri" w:cs="宋体"/>
                <w:color w:val="000000"/>
                <w:kern w:val="0"/>
                <w:sz w:val="20"/>
                <w:szCs w:val="20"/>
              </w:rPr>
            </w:pPr>
          </w:p>
        </w:tc>
      </w:tr>
      <w:tr w14:paraId="048B87AE">
        <w:tblPrEx>
          <w:tblCellMar>
            <w:top w:w="0" w:type="dxa"/>
            <w:left w:w="108" w:type="dxa"/>
            <w:bottom w:w="0" w:type="dxa"/>
            <w:right w:w="108" w:type="dxa"/>
          </w:tblCellMar>
        </w:tblPrEx>
        <w:trPr>
          <w:trHeight w:val="765" w:hRule="atLeast"/>
        </w:trPr>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79B60339">
            <w:pPr>
              <w:autoSpaceDN w:val="0"/>
              <w:spacing w:line="240" w:lineRule="atLeast"/>
              <w:rPr>
                <w:rFonts w:ascii="宋体" w:hAnsi="Calibri" w:cs="宋体"/>
                <w:color w:val="000000"/>
                <w:kern w:val="0"/>
                <w:sz w:val="20"/>
                <w:szCs w:val="20"/>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9B3827D">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每学期2次</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2602B5DD">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公共卫生间彻底清洗消毒</w:t>
            </w:r>
          </w:p>
        </w:tc>
        <w:tc>
          <w:tcPr>
            <w:tcW w:w="3969" w:type="dxa"/>
            <w:tcBorders>
              <w:top w:val="single" w:color="auto" w:sz="4" w:space="0"/>
              <w:left w:val="single" w:color="auto" w:sz="4" w:space="0"/>
              <w:bottom w:val="single" w:color="auto" w:sz="4" w:space="0"/>
              <w:right w:val="single" w:color="auto" w:sz="4" w:space="0"/>
            </w:tcBorders>
            <w:noWrap w:val="0"/>
            <w:vAlign w:val="center"/>
          </w:tcPr>
          <w:p w14:paraId="6F9E5159">
            <w:pPr>
              <w:autoSpaceDN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保证无尿垢，室内下水道畅通</w:t>
            </w:r>
          </w:p>
        </w:tc>
      </w:tr>
    </w:tbl>
    <w:p w14:paraId="07D60A2D">
      <w:pPr>
        <w:widowControl/>
        <w:autoSpaceDN w:val="0"/>
        <w:spacing w:line="360" w:lineRule="auto"/>
        <w:ind w:firstLine="480" w:firstLineChars="200"/>
        <w:rPr>
          <w:rFonts w:ascii="宋体" w:hAnsi="宋体"/>
          <w:b/>
          <w:bCs/>
          <w:color w:val="000000"/>
          <w:sz w:val="24"/>
          <w:szCs w:val="21"/>
        </w:rPr>
      </w:pPr>
      <w:r>
        <w:rPr>
          <w:rFonts w:hint="eastAsia" w:ascii="宋体" w:hAnsi="宋体"/>
          <w:b/>
          <w:bCs/>
          <w:color w:val="000000"/>
          <w:sz w:val="24"/>
          <w:szCs w:val="21"/>
        </w:rPr>
        <w:t>3.4绿化</w:t>
      </w:r>
    </w:p>
    <w:tbl>
      <w:tblPr>
        <w:tblStyle w:val="8"/>
        <w:tblW w:w="905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6" w:type="dxa"/>
          <w:bottom w:w="0" w:type="dxa"/>
          <w:right w:w="36" w:type="dxa"/>
        </w:tblCellMar>
      </w:tblPr>
      <w:tblGrid>
        <w:gridCol w:w="1031"/>
        <w:gridCol w:w="851"/>
        <w:gridCol w:w="1842"/>
        <w:gridCol w:w="5329"/>
      </w:tblGrid>
      <w:tr w14:paraId="70B827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6" w:type="dxa"/>
            <w:bottom w:w="0" w:type="dxa"/>
            <w:right w:w="36" w:type="dxa"/>
          </w:tblCellMar>
        </w:tblPrEx>
        <w:trPr>
          <w:jc w:val="center"/>
        </w:trPr>
        <w:tc>
          <w:tcPr>
            <w:tcW w:w="1031" w:type="dxa"/>
            <w:tcBorders>
              <w:top w:val="single" w:color="000000" w:sz="4" w:space="0"/>
              <w:left w:val="single" w:color="000000" w:sz="4" w:space="0"/>
              <w:bottom w:val="single" w:color="000000" w:sz="4" w:space="0"/>
              <w:right w:val="single" w:color="000000" w:sz="4" w:space="0"/>
            </w:tcBorders>
            <w:noWrap w:val="0"/>
            <w:vAlign w:val="center"/>
          </w:tcPr>
          <w:p w14:paraId="1B2D45E4">
            <w:pPr>
              <w:autoSpaceDN w:val="0"/>
              <w:spacing w:line="360" w:lineRule="auto"/>
              <w:jc w:val="center"/>
              <w:rPr>
                <w:rFonts w:hint="eastAsia" w:ascii="宋体" w:hAnsi="Calibri" w:cs="宋体"/>
                <w:b/>
                <w:color w:val="000000"/>
                <w:kern w:val="0"/>
                <w:szCs w:val="20"/>
              </w:rPr>
            </w:pPr>
            <w:r>
              <w:rPr>
                <w:rFonts w:hint="eastAsia" w:ascii="宋体" w:hAnsi="Calibri" w:cs="宋体"/>
                <w:b/>
                <w:color w:val="000000"/>
                <w:kern w:val="0"/>
                <w:szCs w:val="20"/>
              </w:rPr>
              <w:t>项目</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7E6E5CD">
            <w:pPr>
              <w:autoSpaceDN w:val="0"/>
              <w:spacing w:line="360" w:lineRule="auto"/>
              <w:jc w:val="center"/>
              <w:rPr>
                <w:rFonts w:hint="eastAsia" w:ascii="宋体" w:hAnsi="Calibri" w:cs="宋体"/>
                <w:b/>
                <w:color w:val="000000"/>
                <w:kern w:val="0"/>
                <w:szCs w:val="20"/>
              </w:rPr>
            </w:pPr>
            <w:r>
              <w:rPr>
                <w:rFonts w:hint="eastAsia" w:ascii="宋体" w:hAnsi="Calibri" w:cs="宋体"/>
                <w:b/>
                <w:color w:val="000000"/>
                <w:kern w:val="0"/>
                <w:szCs w:val="20"/>
              </w:rPr>
              <w:t>内容</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51F414C0">
            <w:pPr>
              <w:autoSpaceDN w:val="0"/>
              <w:spacing w:line="360" w:lineRule="auto"/>
              <w:jc w:val="center"/>
              <w:rPr>
                <w:rFonts w:hint="eastAsia" w:ascii="宋体" w:hAnsi="Calibri" w:cs="宋体"/>
                <w:b/>
                <w:color w:val="000000"/>
                <w:kern w:val="0"/>
                <w:szCs w:val="20"/>
              </w:rPr>
            </w:pPr>
            <w:r>
              <w:rPr>
                <w:rFonts w:hint="eastAsia" w:ascii="宋体" w:hAnsi="Calibri" w:cs="宋体"/>
                <w:b/>
                <w:color w:val="000000"/>
                <w:kern w:val="0"/>
                <w:szCs w:val="20"/>
              </w:rPr>
              <w:t>频次</w:t>
            </w:r>
          </w:p>
        </w:tc>
        <w:tc>
          <w:tcPr>
            <w:tcW w:w="5329" w:type="dxa"/>
            <w:tcBorders>
              <w:top w:val="single" w:color="000000" w:sz="4" w:space="0"/>
              <w:left w:val="single" w:color="000000" w:sz="4" w:space="0"/>
              <w:bottom w:val="single" w:color="000000" w:sz="4" w:space="0"/>
              <w:right w:val="single" w:color="000000" w:sz="4" w:space="0"/>
            </w:tcBorders>
            <w:noWrap w:val="0"/>
            <w:vAlign w:val="center"/>
          </w:tcPr>
          <w:p w14:paraId="7C025648">
            <w:pPr>
              <w:autoSpaceDN w:val="0"/>
              <w:spacing w:line="360" w:lineRule="auto"/>
              <w:jc w:val="center"/>
              <w:rPr>
                <w:rFonts w:hint="eastAsia" w:ascii="宋体" w:hAnsi="Calibri" w:cs="宋体"/>
                <w:b/>
                <w:color w:val="000000"/>
                <w:kern w:val="0"/>
                <w:szCs w:val="20"/>
              </w:rPr>
            </w:pPr>
            <w:r>
              <w:rPr>
                <w:rFonts w:hint="eastAsia" w:ascii="宋体" w:hAnsi="Calibri" w:cs="宋体"/>
                <w:b/>
                <w:color w:val="000000"/>
                <w:kern w:val="0"/>
                <w:szCs w:val="20"/>
              </w:rPr>
              <w:t>服务质量标准</w:t>
            </w:r>
          </w:p>
        </w:tc>
      </w:tr>
      <w:tr w14:paraId="7F6946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6" w:type="dxa"/>
            <w:bottom w:w="0" w:type="dxa"/>
            <w:right w:w="36" w:type="dxa"/>
          </w:tblCellMar>
        </w:tblPrEx>
        <w:trPr>
          <w:jc w:val="center"/>
        </w:trPr>
        <w:tc>
          <w:tcPr>
            <w:tcW w:w="1031" w:type="dxa"/>
            <w:vMerge w:val="restart"/>
            <w:tcBorders>
              <w:top w:val="single" w:color="000000" w:sz="4" w:space="0"/>
              <w:left w:val="single" w:color="000000" w:sz="4" w:space="0"/>
              <w:bottom w:val="single" w:color="000000" w:sz="4" w:space="0"/>
              <w:right w:val="single" w:color="000000" w:sz="4" w:space="0"/>
            </w:tcBorders>
            <w:noWrap w:val="0"/>
            <w:vAlign w:val="center"/>
          </w:tcPr>
          <w:p w14:paraId="1A4D17BC">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草坪养护</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E4CD4EC">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补植</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7A7B6166">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每天巡查</w:t>
            </w:r>
          </w:p>
        </w:tc>
        <w:tc>
          <w:tcPr>
            <w:tcW w:w="5329" w:type="dxa"/>
            <w:tcBorders>
              <w:top w:val="single" w:color="000000" w:sz="4" w:space="0"/>
              <w:left w:val="single" w:color="000000" w:sz="4" w:space="0"/>
              <w:bottom w:val="single" w:color="000000" w:sz="4" w:space="0"/>
              <w:right w:val="single" w:color="000000" w:sz="4" w:space="0"/>
            </w:tcBorders>
            <w:noWrap w:val="0"/>
            <w:vAlign w:val="center"/>
          </w:tcPr>
          <w:p w14:paraId="3127D36B">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覆盖率</w:t>
            </w:r>
            <w:r>
              <w:rPr>
                <w:rFonts w:ascii="宋体" w:hAnsi="Calibri" w:cs="宋体"/>
                <w:color w:val="000000"/>
                <w:kern w:val="0"/>
                <w:sz w:val="20"/>
                <w:szCs w:val="20"/>
              </w:rPr>
              <w:t>95%</w:t>
            </w:r>
            <w:r>
              <w:rPr>
                <w:rFonts w:hint="eastAsia" w:ascii="宋体" w:hAnsi="Calibri" w:cs="宋体"/>
                <w:color w:val="000000"/>
                <w:kern w:val="0"/>
                <w:sz w:val="20"/>
                <w:szCs w:val="20"/>
              </w:rPr>
              <w:t>以上，空秃地段及时补植，草根不裸露，叶色正常，生长季节不枯黄</w:t>
            </w:r>
          </w:p>
        </w:tc>
      </w:tr>
      <w:tr w14:paraId="6F3D0C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6" w:type="dxa"/>
            <w:bottom w:w="0" w:type="dxa"/>
            <w:right w:w="36" w:type="dxa"/>
          </w:tblCellMar>
        </w:tblPrEx>
        <w:trPr>
          <w:jc w:val="center"/>
        </w:trPr>
        <w:tc>
          <w:tcPr>
            <w:tcW w:w="10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E45752">
            <w:pPr>
              <w:autoSpaceDN w:val="0"/>
              <w:spacing w:line="240" w:lineRule="atLeast"/>
              <w:rPr>
                <w:rFonts w:hint="eastAsia" w:ascii="宋体" w:hAnsi="Calibri" w:cs="宋体"/>
                <w:color w:val="000000"/>
                <w:kern w:val="0"/>
                <w:sz w:val="20"/>
                <w:szCs w:val="20"/>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363EBFD">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轧剪</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1AC6EDEB">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适时</w:t>
            </w:r>
          </w:p>
        </w:tc>
        <w:tc>
          <w:tcPr>
            <w:tcW w:w="5329" w:type="dxa"/>
            <w:tcBorders>
              <w:top w:val="single" w:color="000000" w:sz="4" w:space="0"/>
              <w:left w:val="single" w:color="000000" w:sz="4" w:space="0"/>
              <w:bottom w:val="single" w:color="000000" w:sz="4" w:space="0"/>
              <w:right w:val="single" w:color="000000" w:sz="4" w:space="0"/>
            </w:tcBorders>
            <w:noWrap w:val="0"/>
            <w:vAlign w:val="center"/>
          </w:tcPr>
          <w:p w14:paraId="736624D2">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冬季宜矮，夏季宜高，草高控制在</w:t>
            </w:r>
            <w:r>
              <w:rPr>
                <w:rFonts w:ascii="宋体" w:hAnsi="Calibri" w:cs="宋体"/>
                <w:color w:val="000000"/>
                <w:kern w:val="0"/>
                <w:sz w:val="20"/>
                <w:szCs w:val="20"/>
              </w:rPr>
              <w:t>8</w:t>
            </w:r>
            <w:r>
              <w:rPr>
                <w:rFonts w:hint="eastAsia" w:ascii="宋体" w:hAnsi="Calibri" w:cs="宋体"/>
                <w:color w:val="000000"/>
                <w:kern w:val="0"/>
                <w:sz w:val="20"/>
                <w:szCs w:val="20"/>
              </w:rPr>
              <w:t>±</w:t>
            </w:r>
            <w:r>
              <w:rPr>
                <w:rFonts w:ascii="宋体" w:hAnsi="Calibri" w:cs="宋体"/>
                <w:color w:val="000000"/>
                <w:kern w:val="0"/>
                <w:sz w:val="20"/>
                <w:szCs w:val="20"/>
              </w:rPr>
              <w:t>2 cm</w:t>
            </w:r>
            <w:r>
              <w:rPr>
                <w:rFonts w:hint="eastAsia" w:ascii="宋体" w:hAnsi="Calibri" w:cs="宋体"/>
                <w:color w:val="000000"/>
                <w:kern w:val="0"/>
                <w:sz w:val="20"/>
                <w:szCs w:val="20"/>
              </w:rPr>
              <w:t>，草坪边缘切齐，修剪后草屑即时运出。</w:t>
            </w:r>
          </w:p>
        </w:tc>
      </w:tr>
      <w:tr w14:paraId="0BB437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6" w:type="dxa"/>
            <w:bottom w:w="0" w:type="dxa"/>
            <w:right w:w="36" w:type="dxa"/>
          </w:tblCellMar>
        </w:tblPrEx>
        <w:trPr>
          <w:jc w:val="center"/>
        </w:trPr>
        <w:tc>
          <w:tcPr>
            <w:tcW w:w="10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886F76">
            <w:pPr>
              <w:autoSpaceDN w:val="0"/>
              <w:spacing w:line="240" w:lineRule="atLeast"/>
              <w:rPr>
                <w:rFonts w:hint="eastAsia" w:ascii="宋体" w:hAnsi="Calibri" w:cs="宋体"/>
                <w:color w:val="000000"/>
                <w:kern w:val="0"/>
                <w:sz w:val="20"/>
                <w:szCs w:val="20"/>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402E898">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施肥</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14D0245C">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每年至少</w:t>
            </w:r>
            <w:r>
              <w:rPr>
                <w:rFonts w:ascii="宋体" w:hAnsi="Calibri" w:cs="宋体"/>
                <w:color w:val="000000"/>
                <w:kern w:val="0"/>
                <w:sz w:val="20"/>
                <w:szCs w:val="20"/>
              </w:rPr>
              <w:t>2</w:t>
            </w:r>
            <w:r>
              <w:rPr>
                <w:rFonts w:hint="eastAsia" w:ascii="宋体" w:hAnsi="Calibri" w:cs="宋体"/>
                <w:color w:val="000000"/>
                <w:kern w:val="0"/>
                <w:sz w:val="20"/>
                <w:szCs w:val="20"/>
              </w:rPr>
              <w:t>次</w:t>
            </w:r>
          </w:p>
        </w:tc>
        <w:tc>
          <w:tcPr>
            <w:tcW w:w="5329" w:type="dxa"/>
            <w:tcBorders>
              <w:top w:val="single" w:color="000000" w:sz="4" w:space="0"/>
              <w:left w:val="single" w:color="000000" w:sz="4" w:space="0"/>
              <w:bottom w:val="single" w:color="000000" w:sz="4" w:space="0"/>
              <w:right w:val="single" w:color="000000" w:sz="4" w:space="0"/>
            </w:tcBorders>
            <w:noWrap w:val="0"/>
            <w:vAlign w:val="center"/>
          </w:tcPr>
          <w:p w14:paraId="5957892A">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春秋各适时追肥至少一次，春季施氮肥，薄肥勤施；秋冬季施有机肥，保证草坪不缺养分，茂盛葱绿。</w:t>
            </w:r>
          </w:p>
        </w:tc>
      </w:tr>
      <w:tr w14:paraId="7D978E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6" w:type="dxa"/>
            <w:bottom w:w="0" w:type="dxa"/>
            <w:right w:w="36" w:type="dxa"/>
          </w:tblCellMar>
        </w:tblPrEx>
        <w:trPr>
          <w:jc w:val="center"/>
        </w:trPr>
        <w:tc>
          <w:tcPr>
            <w:tcW w:w="10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A9432F">
            <w:pPr>
              <w:autoSpaceDN w:val="0"/>
              <w:spacing w:line="240" w:lineRule="atLeast"/>
              <w:rPr>
                <w:rFonts w:hint="eastAsia" w:ascii="宋体" w:hAnsi="Calibri" w:cs="宋体"/>
                <w:color w:val="000000"/>
                <w:kern w:val="0"/>
                <w:sz w:val="20"/>
                <w:szCs w:val="20"/>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35EFECF">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病虫害防治</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725B4033">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适时消杀，每年至少</w:t>
            </w:r>
            <w:r>
              <w:rPr>
                <w:rFonts w:ascii="宋体" w:hAnsi="Calibri" w:cs="宋体"/>
                <w:color w:val="000000"/>
                <w:kern w:val="0"/>
                <w:sz w:val="20"/>
                <w:szCs w:val="20"/>
              </w:rPr>
              <w:t>2</w:t>
            </w:r>
            <w:r>
              <w:rPr>
                <w:rFonts w:hint="eastAsia" w:ascii="宋体" w:hAnsi="Calibri" w:cs="宋体"/>
                <w:color w:val="000000"/>
                <w:kern w:val="0"/>
                <w:sz w:val="20"/>
                <w:szCs w:val="20"/>
              </w:rPr>
              <w:t>次</w:t>
            </w:r>
          </w:p>
        </w:tc>
        <w:tc>
          <w:tcPr>
            <w:tcW w:w="5329" w:type="dxa"/>
            <w:tcBorders>
              <w:top w:val="single" w:color="000000" w:sz="4" w:space="0"/>
              <w:left w:val="single" w:color="000000" w:sz="4" w:space="0"/>
              <w:bottom w:val="single" w:color="000000" w:sz="4" w:space="0"/>
              <w:right w:val="single" w:color="000000" w:sz="4" w:space="0"/>
            </w:tcBorders>
            <w:noWrap w:val="0"/>
            <w:vAlign w:val="center"/>
          </w:tcPr>
          <w:p w14:paraId="07F6F52C">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预防为主、防治结合，发现虫害时，第一时间采用高效、低毒农药治理，无斑病、无虫害、无死亡。</w:t>
            </w:r>
          </w:p>
        </w:tc>
      </w:tr>
      <w:tr w14:paraId="1172DD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6" w:type="dxa"/>
            <w:bottom w:w="0" w:type="dxa"/>
            <w:right w:w="36" w:type="dxa"/>
          </w:tblCellMar>
        </w:tblPrEx>
        <w:trPr>
          <w:jc w:val="center"/>
        </w:trPr>
        <w:tc>
          <w:tcPr>
            <w:tcW w:w="10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3F8E96">
            <w:pPr>
              <w:autoSpaceDN w:val="0"/>
              <w:spacing w:line="240" w:lineRule="atLeast"/>
              <w:rPr>
                <w:rFonts w:hint="eastAsia" w:ascii="宋体" w:hAnsi="Calibri" w:cs="宋体"/>
                <w:color w:val="000000"/>
                <w:kern w:val="0"/>
                <w:sz w:val="20"/>
                <w:szCs w:val="20"/>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5BF09C5">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除杂</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1492C5E7">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每周至少一次</w:t>
            </w:r>
          </w:p>
        </w:tc>
        <w:tc>
          <w:tcPr>
            <w:tcW w:w="5329" w:type="dxa"/>
            <w:tcBorders>
              <w:top w:val="single" w:color="000000" w:sz="4" w:space="0"/>
              <w:left w:val="single" w:color="000000" w:sz="4" w:space="0"/>
              <w:bottom w:val="single" w:color="000000" w:sz="4" w:space="0"/>
              <w:right w:val="single" w:color="000000" w:sz="4" w:space="0"/>
            </w:tcBorders>
            <w:noWrap w:val="0"/>
            <w:vAlign w:val="center"/>
          </w:tcPr>
          <w:p w14:paraId="2A8B1E4A">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保持草坪整洁美观，及时捡走草地上的杂石杂块等建筑、绿化垃圾，保持草地清洁。清除杂草，杂草率</w:t>
            </w:r>
            <w:r>
              <w:rPr>
                <w:rFonts w:ascii="宋体" w:hAnsi="Calibri" w:cs="宋体"/>
                <w:color w:val="000000"/>
                <w:kern w:val="0"/>
                <w:sz w:val="20"/>
                <w:szCs w:val="20"/>
              </w:rPr>
              <w:t>5%</w:t>
            </w:r>
            <w:r>
              <w:rPr>
                <w:rFonts w:hint="eastAsia" w:ascii="宋体" w:hAnsi="Calibri" w:cs="宋体"/>
                <w:color w:val="000000"/>
                <w:kern w:val="0"/>
                <w:sz w:val="20"/>
                <w:szCs w:val="20"/>
              </w:rPr>
              <w:t>以下；枯死植物及时挖除，保持草坪清洁度。</w:t>
            </w:r>
          </w:p>
        </w:tc>
      </w:tr>
      <w:tr w14:paraId="3FE01E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6" w:type="dxa"/>
            <w:bottom w:w="0" w:type="dxa"/>
            <w:right w:w="36" w:type="dxa"/>
          </w:tblCellMar>
        </w:tblPrEx>
        <w:trPr>
          <w:jc w:val="center"/>
        </w:trPr>
        <w:tc>
          <w:tcPr>
            <w:tcW w:w="10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D6B5FA">
            <w:pPr>
              <w:autoSpaceDN w:val="0"/>
              <w:spacing w:line="240" w:lineRule="atLeast"/>
              <w:rPr>
                <w:rFonts w:hint="eastAsia" w:ascii="宋体" w:hAnsi="Calibri" w:cs="宋体"/>
                <w:color w:val="000000"/>
                <w:kern w:val="0"/>
                <w:sz w:val="20"/>
                <w:szCs w:val="20"/>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40DB4B2">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灌溉</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320FE539">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适时</w:t>
            </w:r>
          </w:p>
        </w:tc>
        <w:tc>
          <w:tcPr>
            <w:tcW w:w="5329" w:type="dxa"/>
            <w:tcBorders>
              <w:top w:val="single" w:color="000000" w:sz="4" w:space="0"/>
              <w:left w:val="single" w:color="000000" w:sz="4" w:space="0"/>
              <w:bottom w:val="single" w:color="000000" w:sz="4" w:space="0"/>
              <w:right w:val="single" w:color="000000" w:sz="4" w:space="0"/>
            </w:tcBorders>
            <w:noWrap w:val="0"/>
            <w:vAlign w:val="center"/>
          </w:tcPr>
          <w:p w14:paraId="2F0CC1D5">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天气干旱、土壤干燥时，根据土质、生长势、草种等因素适时、适量浇水，浇水必须湿透根系层，至少浸湿土层</w:t>
            </w:r>
            <w:r>
              <w:rPr>
                <w:rFonts w:ascii="宋体" w:hAnsi="Calibri" w:cs="宋体"/>
                <w:color w:val="000000"/>
                <w:kern w:val="0"/>
                <w:sz w:val="20"/>
                <w:szCs w:val="20"/>
              </w:rPr>
              <w:t>10cm,</w:t>
            </w:r>
            <w:r>
              <w:rPr>
                <w:rFonts w:hint="eastAsia" w:ascii="宋体" w:hAnsi="Calibri" w:cs="宋体"/>
                <w:color w:val="000000"/>
                <w:kern w:val="0"/>
                <w:sz w:val="20"/>
                <w:szCs w:val="20"/>
              </w:rPr>
              <w:t>不发生地面长时间积水。灌溉以喷灌为主。</w:t>
            </w:r>
          </w:p>
        </w:tc>
      </w:tr>
      <w:tr w14:paraId="655EED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6" w:type="dxa"/>
            <w:bottom w:w="0" w:type="dxa"/>
            <w:right w:w="36" w:type="dxa"/>
          </w:tblCellMar>
        </w:tblPrEx>
        <w:trPr>
          <w:jc w:val="center"/>
        </w:trPr>
        <w:tc>
          <w:tcPr>
            <w:tcW w:w="10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F4A966">
            <w:pPr>
              <w:autoSpaceDN w:val="0"/>
              <w:spacing w:line="240" w:lineRule="atLeast"/>
              <w:rPr>
                <w:rFonts w:hint="eastAsia" w:ascii="宋体" w:hAnsi="Calibri" w:cs="宋体"/>
                <w:color w:val="000000"/>
                <w:kern w:val="0"/>
                <w:sz w:val="20"/>
                <w:szCs w:val="20"/>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9CACD15">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更新</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161EAC59">
            <w:pPr>
              <w:autoSpaceDE w:val="0"/>
              <w:autoSpaceDN w:val="0"/>
              <w:adjustRightInd w:val="0"/>
              <w:spacing w:line="240" w:lineRule="atLeast"/>
              <w:rPr>
                <w:rFonts w:hint="eastAsia" w:ascii="宋体" w:hAnsi="Calibri" w:cs="宋体"/>
                <w:color w:val="000000"/>
                <w:kern w:val="0"/>
                <w:sz w:val="20"/>
                <w:szCs w:val="20"/>
              </w:rPr>
            </w:pPr>
          </w:p>
        </w:tc>
        <w:tc>
          <w:tcPr>
            <w:tcW w:w="5329" w:type="dxa"/>
            <w:tcBorders>
              <w:top w:val="single" w:color="000000" w:sz="4" w:space="0"/>
              <w:left w:val="single" w:color="000000" w:sz="4" w:space="0"/>
              <w:bottom w:val="single" w:color="000000" w:sz="4" w:space="0"/>
              <w:right w:val="single" w:color="000000" w:sz="4" w:space="0"/>
            </w:tcBorders>
            <w:noWrap w:val="0"/>
            <w:vAlign w:val="center"/>
          </w:tcPr>
          <w:p w14:paraId="76BA0EBC">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草坪整齐美观茂盛葱绿，断根、松土、施肥打孔、开沟补种。</w:t>
            </w:r>
          </w:p>
        </w:tc>
      </w:tr>
      <w:tr w14:paraId="39FE09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6" w:type="dxa"/>
            <w:bottom w:w="0" w:type="dxa"/>
            <w:right w:w="36" w:type="dxa"/>
          </w:tblCellMar>
        </w:tblPrEx>
        <w:trPr>
          <w:jc w:val="center"/>
        </w:trPr>
        <w:tc>
          <w:tcPr>
            <w:tcW w:w="1031" w:type="dxa"/>
            <w:vMerge w:val="restart"/>
            <w:tcBorders>
              <w:top w:val="single" w:color="000000" w:sz="4" w:space="0"/>
              <w:left w:val="single" w:color="000000" w:sz="4" w:space="0"/>
              <w:right w:val="single" w:color="000000" w:sz="4" w:space="0"/>
            </w:tcBorders>
            <w:noWrap w:val="0"/>
            <w:vAlign w:val="center"/>
          </w:tcPr>
          <w:p w14:paraId="4CA3651E">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乔灌木养护</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DF3005F">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补植</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3531B9D7">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每天巡查</w:t>
            </w:r>
          </w:p>
        </w:tc>
        <w:tc>
          <w:tcPr>
            <w:tcW w:w="5329" w:type="dxa"/>
            <w:tcBorders>
              <w:top w:val="single" w:color="000000" w:sz="4" w:space="0"/>
              <w:left w:val="single" w:color="000000" w:sz="4" w:space="0"/>
              <w:bottom w:val="single" w:color="000000" w:sz="4" w:space="0"/>
              <w:right w:val="single" w:color="000000" w:sz="4" w:space="0"/>
            </w:tcBorders>
            <w:noWrap w:val="0"/>
            <w:vAlign w:val="center"/>
          </w:tcPr>
          <w:p w14:paraId="1A193621">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各类植物凡种植一年以上的，保存率达</w:t>
            </w:r>
            <w:r>
              <w:rPr>
                <w:rFonts w:ascii="宋体" w:hAnsi="Calibri" w:cs="宋体"/>
                <w:color w:val="000000"/>
                <w:kern w:val="0"/>
                <w:sz w:val="20"/>
                <w:szCs w:val="20"/>
              </w:rPr>
              <w:t>98%</w:t>
            </w:r>
            <w:r>
              <w:rPr>
                <w:rFonts w:hint="eastAsia" w:ascii="宋体" w:hAnsi="Calibri" w:cs="宋体"/>
                <w:color w:val="000000"/>
                <w:kern w:val="0"/>
                <w:sz w:val="20"/>
                <w:szCs w:val="20"/>
              </w:rPr>
              <w:t>，枯树及时移除，并购买、补种同类树木。</w:t>
            </w:r>
          </w:p>
        </w:tc>
      </w:tr>
      <w:tr w14:paraId="39B75F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6" w:type="dxa"/>
            <w:bottom w:w="0" w:type="dxa"/>
            <w:right w:w="36" w:type="dxa"/>
          </w:tblCellMar>
        </w:tblPrEx>
        <w:trPr>
          <w:jc w:val="center"/>
        </w:trPr>
        <w:tc>
          <w:tcPr>
            <w:tcW w:w="1031" w:type="dxa"/>
            <w:vMerge w:val="continue"/>
            <w:tcBorders>
              <w:top w:val="single" w:color="000000" w:sz="4" w:space="0"/>
              <w:left w:val="single" w:color="000000" w:sz="4" w:space="0"/>
              <w:right w:val="single" w:color="000000" w:sz="4" w:space="0"/>
            </w:tcBorders>
            <w:noWrap w:val="0"/>
            <w:vAlign w:val="center"/>
          </w:tcPr>
          <w:p w14:paraId="10B7E519">
            <w:pPr>
              <w:autoSpaceDN w:val="0"/>
              <w:spacing w:line="240" w:lineRule="atLeast"/>
              <w:rPr>
                <w:rFonts w:ascii="宋体" w:hAnsi="Calibri" w:cs="宋体"/>
                <w:color w:val="000000"/>
                <w:kern w:val="0"/>
                <w:sz w:val="20"/>
                <w:szCs w:val="20"/>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DA6773D">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移植</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671ADC6E">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不定时</w:t>
            </w:r>
          </w:p>
        </w:tc>
        <w:tc>
          <w:tcPr>
            <w:tcW w:w="5329" w:type="dxa"/>
            <w:tcBorders>
              <w:top w:val="single" w:color="000000" w:sz="4" w:space="0"/>
              <w:left w:val="single" w:color="000000" w:sz="4" w:space="0"/>
              <w:bottom w:val="single" w:color="000000" w:sz="4" w:space="0"/>
              <w:right w:val="single" w:color="000000" w:sz="4" w:space="0"/>
            </w:tcBorders>
            <w:noWrap w:val="0"/>
            <w:vAlign w:val="center"/>
          </w:tcPr>
          <w:p w14:paraId="606C4A73">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若因土地用途变化，此处树木移至彼处（校区内），负责运输、移植。</w:t>
            </w:r>
          </w:p>
        </w:tc>
      </w:tr>
      <w:tr w14:paraId="75D867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6" w:type="dxa"/>
            <w:bottom w:w="0" w:type="dxa"/>
            <w:right w:w="36" w:type="dxa"/>
          </w:tblCellMar>
        </w:tblPrEx>
        <w:trPr>
          <w:jc w:val="center"/>
        </w:trPr>
        <w:tc>
          <w:tcPr>
            <w:tcW w:w="1031" w:type="dxa"/>
            <w:vMerge w:val="continue"/>
            <w:tcBorders>
              <w:top w:val="single" w:color="000000" w:sz="4" w:space="0"/>
              <w:left w:val="single" w:color="000000" w:sz="4" w:space="0"/>
              <w:right w:val="single" w:color="000000" w:sz="4" w:space="0"/>
            </w:tcBorders>
            <w:noWrap w:val="0"/>
            <w:vAlign w:val="center"/>
          </w:tcPr>
          <w:p w14:paraId="0AAE1B16">
            <w:pPr>
              <w:autoSpaceDN w:val="0"/>
              <w:spacing w:line="240" w:lineRule="atLeast"/>
              <w:rPr>
                <w:rFonts w:ascii="宋体" w:hAnsi="Calibri" w:cs="宋体"/>
                <w:color w:val="000000"/>
                <w:kern w:val="0"/>
                <w:sz w:val="20"/>
                <w:szCs w:val="20"/>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FE23D18">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种植</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0FE63ABE">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不定时</w:t>
            </w:r>
          </w:p>
        </w:tc>
        <w:tc>
          <w:tcPr>
            <w:tcW w:w="5329" w:type="dxa"/>
            <w:tcBorders>
              <w:top w:val="single" w:color="000000" w:sz="4" w:space="0"/>
              <w:left w:val="single" w:color="000000" w:sz="4" w:space="0"/>
              <w:bottom w:val="single" w:color="000000" w:sz="4" w:space="0"/>
              <w:right w:val="single" w:color="000000" w:sz="4" w:space="0"/>
            </w:tcBorders>
            <w:noWrap w:val="0"/>
            <w:vAlign w:val="center"/>
          </w:tcPr>
          <w:p w14:paraId="2B25A8D9">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根据校方规划，负责种植校方购买的绿化（苗木、草花等）</w:t>
            </w:r>
          </w:p>
        </w:tc>
      </w:tr>
      <w:tr w14:paraId="232C68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6" w:type="dxa"/>
            <w:bottom w:w="0" w:type="dxa"/>
            <w:right w:w="36" w:type="dxa"/>
          </w:tblCellMar>
        </w:tblPrEx>
        <w:trPr>
          <w:trHeight w:val="465" w:hRule="atLeast"/>
          <w:jc w:val="center"/>
        </w:trPr>
        <w:tc>
          <w:tcPr>
            <w:tcW w:w="1031" w:type="dxa"/>
            <w:vMerge w:val="continue"/>
            <w:tcBorders>
              <w:left w:val="single" w:color="000000" w:sz="4" w:space="0"/>
              <w:right w:val="single" w:color="000000" w:sz="4" w:space="0"/>
            </w:tcBorders>
            <w:noWrap w:val="0"/>
            <w:vAlign w:val="center"/>
          </w:tcPr>
          <w:p w14:paraId="137BB42E">
            <w:pPr>
              <w:autoSpaceDN w:val="0"/>
              <w:spacing w:line="240" w:lineRule="atLeast"/>
              <w:rPr>
                <w:rFonts w:hint="eastAsia" w:ascii="宋体" w:hAnsi="Calibri" w:cs="宋体"/>
                <w:color w:val="000000"/>
                <w:kern w:val="0"/>
                <w:sz w:val="20"/>
                <w:szCs w:val="20"/>
              </w:rPr>
            </w:pPr>
          </w:p>
        </w:tc>
        <w:tc>
          <w:tcPr>
            <w:tcW w:w="851" w:type="dxa"/>
            <w:vMerge w:val="restart"/>
            <w:tcBorders>
              <w:top w:val="single" w:color="000000" w:sz="4" w:space="0"/>
              <w:left w:val="single" w:color="000000" w:sz="4" w:space="0"/>
              <w:right w:val="single" w:color="000000" w:sz="4" w:space="0"/>
            </w:tcBorders>
            <w:noWrap w:val="0"/>
            <w:vAlign w:val="center"/>
          </w:tcPr>
          <w:p w14:paraId="08030FA8">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整形修剪</w:t>
            </w:r>
          </w:p>
        </w:tc>
        <w:tc>
          <w:tcPr>
            <w:tcW w:w="1842" w:type="dxa"/>
            <w:tcBorders>
              <w:top w:val="single" w:color="000000" w:sz="4" w:space="0"/>
              <w:left w:val="single" w:color="000000" w:sz="4" w:space="0"/>
              <w:right w:val="single" w:color="000000" w:sz="4" w:space="0"/>
            </w:tcBorders>
            <w:noWrap w:val="0"/>
            <w:vAlign w:val="center"/>
          </w:tcPr>
          <w:p w14:paraId="0FE980C9">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树木：每年至少</w:t>
            </w:r>
            <w:r>
              <w:rPr>
                <w:rFonts w:ascii="宋体" w:hAnsi="Calibri" w:cs="宋体"/>
                <w:color w:val="000000"/>
                <w:kern w:val="0"/>
                <w:sz w:val="20"/>
                <w:szCs w:val="20"/>
              </w:rPr>
              <w:t>2</w:t>
            </w:r>
            <w:r>
              <w:rPr>
                <w:rFonts w:hint="eastAsia" w:ascii="宋体" w:hAnsi="Calibri" w:cs="宋体"/>
                <w:color w:val="000000"/>
                <w:kern w:val="0"/>
                <w:sz w:val="20"/>
                <w:szCs w:val="20"/>
              </w:rPr>
              <w:t>次</w:t>
            </w:r>
          </w:p>
        </w:tc>
        <w:tc>
          <w:tcPr>
            <w:tcW w:w="5329" w:type="dxa"/>
            <w:tcBorders>
              <w:top w:val="single" w:color="000000" w:sz="4" w:space="0"/>
              <w:left w:val="single" w:color="000000" w:sz="4" w:space="0"/>
              <w:bottom w:val="single" w:color="000000" w:sz="4" w:space="0"/>
              <w:right w:val="single" w:color="000000" w:sz="4" w:space="0"/>
            </w:tcBorders>
            <w:noWrap w:val="0"/>
            <w:vAlign w:val="center"/>
          </w:tcPr>
          <w:p w14:paraId="49714B4E">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均衡树势，树冠基本完成、内膛不乱，通风透光；休眠期修剪以整形为主，稍重剪，生长期修剪以调整树势为主，宜轻剪。修剪要避开树木伤流盛；修剪范围：内膛肢、徒长枝、病虫枝、交叉枝、下垂枝、扭伤枝及枯枝烂头；枝条修剪时，切口必须靠节，剪口在剪口芽的反侧呈</w:t>
            </w:r>
            <w:r>
              <w:rPr>
                <w:rFonts w:ascii="宋体" w:hAnsi="Calibri" w:cs="宋体"/>
                <w:color w:val="000000"/>
                <w:kern w:val="0"/>
                <w:sz w:val="20"/>
                <w:szCs w:val="20"/>
              </w:rPr>
              <w:t>45</w:t>
            </w:r>
            <w:r>
              <w:rPr>
                <w:rFonts w:hint="eastAsia" w:ascii="宋体" w:hAnsi="Calibri" w:cs="宋体"/>
                <w:color w:val="000000"/>
                <w:kern w:val="0"/>
                <w:sz w:val="20"/>
                <w:szCs w:val="20"/>
              </w:rPr>
              <w:t>℃倾斜，剪口要平整，并涂抹园林用的防腐剂。对于粗壮的大枝采取分段截枝法，防止扯裂树皮；修剪剩余物要及时清理干净，保证作业现场的洁净。</w:t>
            </w:r>
          </w:p>
        </w:tc>
      </w:tr>
      <w:tr w14:paraId="31EF5F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6" w:type="dxa"/>
            <w:bottom w:w="0" w:type="dxa"/>
            <w:right w:w="36" w:type="dxa"/>
          </w:tblCellMar>
        </w:tblPrEx>
        <w:trPr>
          <w:trHeight w:val="465" w:hRule="atLeast"/>
          <w:jc w:val="center"/>
        </w:trPr>
        <w:tc>
          <w:tcPr>
            <w:tcW w:w="1031" w:type="dxa"/>
            <w:vMerge w:val="continue"/>
            <w:tcBorders>
              <w:left w:val="single" w:color="000000" w:sz="4" w:space="0"/>
              <w:right w:val="single" w:color="000000" w:sz="4" w:space="0"/>
            </w:tcBorders>
            <w:noWrap w:val="0"/>
            <w:vAlign w:val="center"/>
          </w:tcPr>
          <w:p w14:paraId="0E2CA2B9">
            <w:pPr>
              <w:autoSpaceDN w:val="0"/>
              <w:spacing w:line="240" w:lineRule="atLeast"/>
              <w:rPr>
                <w:rFonts w:hint="eastAsia" w:ascii="宋体" w:hAnsi="Calibri" w:cs="宋体"/>
                <w:color w:val="000000"/>
                <w:kern w:val="0"/>
                <w:sz w:val="20"/>
                <w:szCs w:val="20"/>
              </w:rPr>
            </w:pPr>
          </w:p>
        </w:tc>
        <w:tc>
          <w:tcPr>
            <w:tcW w:w="851" w:type="dxa"/>
            <w:vMerge w:val="continue"/>
            <w:tcBorders>
              <w:left w:val="single" w:color="000000" w:sz="4" w:space="0"/>
              <w:bottom w:val="single" w:color="000000" w:sz="4" w:space="0"/>
              <w:right w:val="single" w:color="000000" w:sz="4" w:space="0"/>
            </w:tcBorders>
            <w:noWrap w:val="0"/>
            <w:vAlign w:val="center"/>
          </w:tcPr>
          <w:p w14:paraId="15DDC3F4">
            <w:pPr>
              <w:autoSpaceDN w:val="0"/>
              <w:spacing w:line="240" w:lineRule="atLeast"/>
              <w:rPr>
                <w:rFonts w:hint="eastAsia" w:ascii="宋体" w:hAnsi="Calibri" w:cs="宋体"/>
                <w:color w:val="000000"/>
                <w:kern w:val="0"/>
                <w:sz w:val="20"/>
                <w:szCs w:val="20"/>
              </w:rPr>
            </w:pPr>
          </w:p>
        </w:tc>
        <w:tc>
          <w:tcPr>
            <w:tcW w:w="1842" w:type="dxa"/>
            <w:tcBorders>
              <w:left w:val="single" w:color="000000" w:sz="4" w:space="0"/>
              <w:bottom w:val="single" w:color="000000" w:sz="4" w:space="0"/>
              <w:right w:val="single" w:color="000000" w:sz="4" w:space="0"/>
            </w:tcBorders>
            <w:noWrap w:val="0"/>
            <w:vAlign w:val="center"/>
          </w:tcPr>
          <w:p w14:paraId="20279888">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灌木：适时</w:t>
            </w:r>
          </w:p>
        </w:tc>
        <w:tc>
          <w:tcPr>
            <w:tcW w:w="5329" w:type="dxa"/>
            <w:tcBorders>
              <w:top w:val="single" w:color="000000" w:sz="4" w:space="0"/>
              <w:left w:val="single" w:color="000000" w:sz="4" w:space="0"/>
              <w:bottom w:val="single" w:color="000000" w:sz="4" w:space="0"/>
              <w:right w:val="single" w:color="000000" w:sz="4" w:space="0"/>
            </w:tcBorders>
            <w:noWrap w:val="0"/>
            <w:vAlign w:val="center"/>
          </w:tcPr>
          <w:p w14:paraId="078D46BC">
            <w:pPr>
              <w:autoSpaceDN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修剪有利于短枝和花芽的形成，遵循“先上后下、先内后外、去弱留强、去老留新”的原则进行修剪。绿篱修剪保持全株枝叶丰满，线条整齐。</w:t>
            </w:r>
          </w:p>
        </w:tc>
      </w:tr>
      <w:tr w14:paraId="3641D1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6" w:type="dxa"/>
            <w:bottom w:w="0" w:type="dxa"/>
            <w:right w:w="36" w:type="dxa"/>
          </w:tblCellMar>
        </w:tblPrEx>
        <w:trPr>
          <w:jc w:val="center"/>
        </w:trPr>
        <w:tc>
          <w:tcPr>
            <w:tcW w:w="1031" w:type="dxa"/>
            <w:vMerge w:val="continue"/>
            <w:tcBorders>
              <w:left w:val="single" w:color="000000" w:sz="4" w:space="0"/>
              <w:right w:val="single" w:color="000000" w:sz="4" w:space="0"/>
            </w:tcBorders>
            <w:noWrap w:val="0"/>
            <w:vAlign w:val="center"/>
          </w:tcPr>
          <w:p w14:paraId="6A76096F">
            <w:pPr>
              <w:autoSpaceDN w:val="0"/>
              <w:spacing w:line="240" w:lineRule="atLeast"/>
              <w:rPr>
                <w:rFonts w:hint="eastAsia" w:ascii="宋体" w:hAnsi="Calibri" w:cs="宋体"/>
                <w:color w:val="000000"/>
                <w:kern w:val="0"/>
                <w:sz w:val="20"/>
                <w:szCs w:val="20"/>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EB181AE">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施肥</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573163BD">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每年至少</w:t>
            </w:r>
            <w:r>
              <w:rPr>
                <w:rFonts w:ascii="宋体" w:hAnsi="Calibri" w:cs="宋体"/>
                <w:color w:val="000000"/>
                <w:kern w:val="0"/>
                <w:sz w:val="20"/>
                <w:szCs w:val="20"/>
              </w:rPr>
              <w:t>2</w:t>
            </w:r>
            <w:r>
              <w:rPr>
                <w:rFonts w:hint="eastAsia" w:ascii="宋体" w:hAnsi="Calibri" w:cs="宋体"/>
                <w:color w:val="000000"/>
                <w:kern w:val="0"/>
                <w:sz w:val="20"/>
                <w:szCs w:val="20"/>
              </w:rPr>
              <w:t>次</w:t>
            </w:r>
          </w:p>
        </w:tc>
        <w:tc>
          <w:tcPr>
            <w:tcW w:w="5329" w:type="dxa"/>
            <w:tcBorders>
              <w:top w:val="single" w:color="000000" w:sz="4" w:space="0"/>
              <w:left w:val="single" w:color="000000" w:sz="4" w:space="0"/>
              <w:bottom w:val="single" w:color="000000" w:sz="4" w:space="0"/>
              <w:right w:val="single" w:color="000000" w:sz="4" w:space="0"/>
            </w:tcBorders>
            <w:noWrap w:val="0"/>
            <w:vAlign w:val="center"/>
          </w:tcPr>
          <w:p w14:paraId="75D4FE35">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树木长势良好，春秋季各施肥一次，春以速效肥为主，秋末以复合肥、有机肥为主。生长季节无黄叶、焦叶、卷叶、落叶；</w:t>
            </w:r>
          </w:p>
        </w:tc>
      </w:tr>
      <w:tr w14:paraId="347D9D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6" w:type="dxa"/>
            <w:bottom w:w="0" w:type="dxa"/>
            <w:right w:w="36" w:type="dxa"/>
          </w:tblCellMar>
        </w:tblPrEx>
        <w:trPr>
          <w:jc w:val="center"/>
        </w:trPr>
        <w:tc>
          <w:tcPr>
            <w:tcW w:w="1031" w:type="dxa"/>
            <w:vMerge w:val="continue"/>
            <w:tcBorders>
              <w:left w:val="single" w:color="000000" w:sz="4" w:space="0"/>
              <w:right w:val="single" w:color="000000" w:sz="4" w:space="0"/>
            </w:tcBorders>
            <w:noWrap w:val="0"/>
            <w:vAlign w:val="center"/>
          </w:tcPr>
          <w:p w14:paraId="08E81ED7">
            <w:pPr>
              <w:autoSpaceDN w:val="0"/>
              <w:spacing w:line="240" w:lineRule="atLeast"/>
              <w:rPr>
                <w:rFonts w:hint="eastAsia" w:ascii="宋体" w:hAnsi="Calibri" w:cs="宋体"/>
                <w:color w:val="000000"/>
                <w:kern w:val="0"/>
                <w:sz w:val="20"/>
                <w:szCs w:val="20"/>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FE05359">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灌溉</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50FDA354">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适时</w:t>
            </w:r>
          </w:p>
        </w:tc>
        <w:tc>
          <w:tcPr>
            <w:tcW w:w="5329" w:type="dxa"/>
            <w:tcBorders>
              <w:top w:val="single" w:color="000000" w:sz="4" w:space="0"/>
              <w:left w:val="single" w:color="000000" w:sz="4" w:space="0"/>
              <w:bottom w:val="single" w:color="000000" w:sz="4" w:space="0"/>
              <w:right w:val="single" w:color="000000" w:sz="4" w:space="0"/>
            </w:tcBorders>
            <w:noWrap w:val="0"/>
            <w:vAlign w:val="center"/>
          </w:tcPr>
          <w:p w14:paraId="7A54BD70">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根据树种、立地条件进行适期、适量的灌溉，保持土壤中有效水份。浇水前先松土，并围堰做好积水坑。夏季浇水宜早、晚进行；冬季浇水宜在中午进行。浇水要一次浇透，特别是春、夏季节。浇水水流不能过急，以防止地表泾流。</w:t>
            </w:r>
          </w:p>
        </w:tc>
      </w:tr>
      <w:tr w14:paraId="1F9178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6" w:type="dxa"/>
            <w:bottom w:w="0" w:type="dxa"/>
            <w:right w:w="36" w:type="dxa"/>
          </w:tblCellMar>
        </w:tblPrEx>
        <w:trPr>
          <w:jc w:val="center"/>
        </w:trPr>
        <w:tc>
          <w:tcPr>
            <w:tcW w:w="1031" w:type="dxa"/>
            <w:vMerge w:val="continue"/>
            <w:tcBorders>
              <w:left w:val="single" w:color="000000" w:sz="4" w:space="0"/>
              <w:right w:val="single" w:color="000000" w:sz="4" w:space="0"/>
            </w:tcBorders>
            <w:noWrap w:val="0"/>
            <w:vAlign w:val="center"/>
          </w:tcPr>
          <w:p w14:paraId="48F9286C">
            <w:pPr>
              <w:autoSpaceDN w:val="0"/>
              <w:spacing w:line="240" w:lineRule="atLeast"/>
              <w:rPr>
                <w:rFonts w:hint="eastAsia" w:ascii="宋体" w:hAnsi="Calibri" w:cs="宋体"/>
                <w:color w:val="000000"/>
                <w:kern w:val="0"/>
                <w:sz w:val="20"/>
                <w:szCs w:val="20"/>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62A926A">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病虫害防治</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7EDC397F">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适时消杀，每年至少</w:t>
            </w:r>
            <w:r>
              <w:rPr>
                <w:rFonts w:ascii="宋体" w:hAnsi="Calibri" w:cs="宋体"/>
                <w:color w:val="000000"/>
                <w:kern w:val="0"/>
                <w:sz w:val="20"/>
                <w:szCs w:val="20"/>
              </w:rPr>
              <w:t>2</w:t>
            </w:r>
            <w:r>
              <w:rPr>
                <w:rFonts w:hint="eastAsia" w:ascii="宋体" w:hAnsi="Calibri" w:cs="宋体"/>
                <w:color w:val="000000"/>
                <w:kern w:val="0"/>
                <w:sz w:val="20"/>
                <w:szCs w:val="20"/>
              </w:rPr>
              <w:t>次</w:t>
            </w:r>
          </w:p>
        </w:tc>
        <w:tc>
          <w:tcPr>
            <w:tcW w:w="5329" w:type="dxa"/>
            <w:tcBorders>
              <w:top w:val="single" w:color="000000" w:sz="4" w:space="0"/>
              <w:left w:val="single" w:color="000000" w:sz="4" w:space="0"/>
              <w:bottom w:val="single" w:color="000000" w:sz="4" w:space="0"/>
              <w:right w:val="single" w:color="000000" w:sz="4" w:space="0"/>
            </w:tcBorders>
            <w:noWrap w:val="0"/>
            <w:vAlign w:val="center"/>
          </w:tcPr>
          <w:p w14:paraId="059A2327">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以防为主，及时采用高效、低毒、农药，使树木被啃咬的叶片最严重的每株在</w:t>
            </w:r>
            <w:r>
              <w:rPr>
                <w:rFonts w:ascii="宋体" w:hAnsi="Calibri" w:cs="宋体"/>
                <w:color w:val="000000"/>
                <w:kern w:val="0"/>
                <w:sz w:val="20"/>
                <w:szCs w:val="20"/>
              </w:rPr>
              <w:t>3%</w:t>
            </w:r>
            <w:r>
              <w:rPr>
                <w:rFonts w:hint="eastAsia" w:ascii="宋体" w:hAnsi="Calibri" w:cs="宋体"/>
                <w:color w:val="000000"/>
                <w:kern w:val="0"/>
                <w:sz w:val="20"/>
                <w:szCs w:val="20"/>
              </w:rPr>
              <w:t>以下；有蛀干害虫的株数在</w:t>
            </w:r>
            <w:r>
              <w:rPr>
                <w:rFonts w:ascii="宋体" w:hAnsi="Calibri" w:cs="宋体"/>
                <w:color w:val="000000"/>
                <w:kern w:val="0"/>
                <w:sz w:val="20"/>
                <w:szCs w:val="20"/>
              </w:rPr>
              <w:t>2%</w:t>
            </w:r>
            <w:r>
              <w:rPr>
                <w:rFonts w:hint="eastAsia" w:ascii="宋体" w:hAnsi="Calibri" w:cs="宋体"/>
                <w:color w:val="000000"/>
                <w:kern w:val="0"/>
                <w:sz w:val="20"/>
                <w:szCs w:val="20"/>
              </w:rPr>
              <w:t>以下，树木缺株在</w:t>
            </w:r>
            <w:r>
              <w:rPr>
                <w:rFonts w:ascii="宋体" w:hAnsi="Calibri" w:cs="宋体"/>
                <w:color w:val="000000"/>
                <w:kern w:val="0"/>
                <w:sz w:val="20"/>
                <w:szCs w:val="20"/>
              </w:rPr>
              <w:t>1‰</w:t>
            </w:r>
            <w:r>
              <w:rPr>
                <w:rFonts w:hint="eastAsia" w:ascii="宋体" w:hAnsi="Calibri" w:cs="宋体"/>
                <w:color w:val="000000"/>
                <w:kern w:val="0"/>
                <w:sz w:val="20"/>
                <w:szCs w:val="20"/>
              </w:rPr>
              <w:t>以下；</w:t>
            </w:r>
          </w:p>
        </w:tc>
      </w:tr>
      <w:tr w14:paraId="1F736F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6" w:type="dxa"/>
            <w:bottom w:w="0" w:type="dxa"/>
            <w:right w:w="36" w:type="dxa"/>
          </w:tblCellMar>
        </w:tblPrEx>
        <w:trPr>
          <w:trHeight w:val="354" w:hRule="atLeast"/>
          <w:jc w:val="center"/>
        </w:trPr>
        <w:tc>
          <w:tcPr>
            <w:tcW w:w="1031" w:type="dxa"/>
            <w:vMerge w:val="continue"/>
            <w:tcBorders>
              <w:left w:val="single" w:color="000000" w:sz="4" w:space="0"/>
              <w:right w:val="single" w:color="000000" w:sz="4" w:space="0"/>
            </w:tcBorders>
            <w:noWrap w:val="0"/>
            <w:vAlign w:val="center"/>
          </w:tcPr>
          <w:p w14:paraId="73C68E99">
            <w:pPr>
              <w:autoSpaceDN w:val="0"/>
              <w:spacing w:line="240" w:lineRule="atLeast"/>
              <w:rPr>
                <w:rFonts w:hint="eastAsia" w:ascii="宋体" w:hAnsi="Calibri" w:cs="宋体"/>
                <w:color w:val="000000"/>
                <w:kern w:val="0"/>
                <w:sz w:val="20"/>
                <w:szCs w:val="20"/>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3E818EB">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除杂</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465B1DBC">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每周至少一次</w:t>
            </w:r>
          </w:p>
        </w:tc>
        <w:tc>
          <w:tcPr>
            <w:tcW w:w="5329" w:type="dxa"/>
            <w:tcBorders>
              <w:top w:val="single" w:color="000000" w:sz="4" w:space="0"/>
              <w:left w:val="single" w:color="000000" w:sz="4" w:space="0"/>
              <w:bottom w:val="single" w:color="000000" w:sz="4" w:space="0"/>
              <w:right w:val="single" w:color="000000" w:sz="4" w:space="0"/>
            </w:tcBorders>
            <w:noWrap w:val="0"/>
            <w:vAlign w:val="center"/>
          </w:tcPr>
          <w:p w14:paraId="638CED68">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及时除杂草，杂草留存不超过</w:t>
            </w:r>
            <w:r>
              <w:rPr>
                <w:rFonts w:ascii="宋体" w:hAnsi="Calibri" w:cs="宋体"/>
                <w:color w:val="000000"/>
                <w:kern w:val="0"/>
                <w:sz w:val="20"/>
                <w:szCs w:val="20"/>
              </w:rPr>
              <w:t>3</w:t>
            </w:r>
            <w:r>
              <w:rPr>
                <w:rFonts w:hint="eastAsia" w:ascii="宋体" w:hAnsi="Calibri" w:cs="宋体"/>
                <w:color w:val="000000"/>
                <w:kern w:val="0"/>
                <w:sz w:val="20"/>
                <w:szCs w:val="20"/>
              </w:rPr>
              <w:t>天，严禁菟丝等藤蔓植物存在。</w:t>
            </w:r>
          </w:p>
        </w:tc>
      </w:tr>
      <w:tr w14:paraId="089794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6" w:type="dxa"/>
            <w:bottom w:w="0" w:type="dxa"/>
            <w:right w:w="36" w:type="dxa"/>
          </w:tblCellMar>
        </w:tblPrEx>
        <w:trPr>
          <w:trHeight w:val="315" w:hRule="atLeast"/>
          <w:jc w:val="center"/>
        </w:trPr>
        <w:tc>
          <w:tcPr>
            <w:tcW w:w="1031" w:type="dxa"/>
            <w:vMerge w:val="continue"/>
            <w:tcBorders>
              <w:left w:val="single" w:color="000000" w:sz="4" w:space="0"/>
              <w:right w:val="single" w:color="000000" w:sz="4" w:space="0"/>
            </w:tcBorders>
            <w:noWrap w:val="0"/>
            <w:vAlign w:val="center"/>
          </w:tcPr>
          <w:p w14:paraId="5EF968FD">
            <w:pPr>
              <w:autoSpaceDN w:val="0"/>
              <w:spacing w:line="240" w:lineRule="atLeast"/>
              <w:rPr>
                <w:rFonts w:hint="eastAsia" w:ascii="宋体" w:hAnsi="Calibri" w:cs="宋体"/>
                <w:color w:val="000000"/>
                <w:kern w:val="0"/>
                <w:sz w:val="20"/>
                <w:szCs w:val="20"/>
              </w:rPr>
            </w:pPr>
          </w:p>
        </w:tc>
        <w:tc>
          <w:tcPr>
            <w:tcW w:w="851" w:type="dxa"/>
            <w:vMerge w:val="restart"/>
            <w:tcBorders>
              <w:top w:val="single" w:color="000000" w:sz="4" w:space="0"/>
              <w:left w:val="single" w:color="000000" w:sz="4" w:space="0"/>
              <w:right w:val="single" w:color="000000" w:sz="4" w:space="0"/>
            </w:tcBorders>
            <w:noWrap w:val="0"/>
            <w:vAlign w:val="center"/>
          </w:tcPr>
          <w:p w14:paraId="07118334">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保护措施</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1B0A2663">
            <w:pPr>
              <w:autoSpaceDE w:val="0"/>
              <w:autoSpaceDN w:val="0"/>
              <w:adjustRightInd w:val="0"/>
              <w:spacing w:line="240" w:lineRule="atLeast"/>
              <w:rPr>
                <w:rFonts w:hint="eastAsia" w:ascii="宋体" w:hAnsi="Calibri" w:cs="宋体"/>
                <w:color w:val="000000"/>
                <w:kern w:val="0"/>
                <w:sz w:val="20"/>
                <w:szCs w:val="20"/>
              </w:rPr>
            </w:pPr>
            <w:r>
              <w:rPr>
                <w:rFonts w:ascii="宋体" w:hAnsi="Calibri" w:cs="宋体"/>
                <w:color w:val="000000"/>
                <w:kern w:val="0"/>
                <w:sz w:val="20"/>
                <w:szCs w:val="20"/>
              </w:rPr>
              <w:t>6</w:t>
            </w:r>
            <w:r>
              <w:rPr>
                <w:rFonts w:hint="eastAsia" w:ascii="宋体" w:hAnsi="Calibri" w:cs="宋体"/>
                <w:color w:val="000000"/>
                <w:kern w:val="0"/>
                <w:sz w:val="20"/>
                <w:szCs w:val="20"/>
              </w:rPr>
              <w:t>月份之前</w:t>
            </w:r>
          </w:p>
        </w:tc>
        <w:tc>
          <w:tcPr>
            <w:tcW w:w="5329" w:type="dxa"/>
            <w:tcBorders>
              <w:top w:val="single" w:color="000000" w:sz="4" w:space="0"/>
              <w:left w:val="single" w:color="000000" w:sz="4" w:space="0"/>
              <w:right w:val="single" w:color="000000" w:sz="4" w:space="0"/>
            </w:tcBorders>
            <w:noWrap w:val="0"/>
            <w:vAlign w:val="center"/>
          </w:tcPr>
          <w:p w14:paraId="73A23107">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在树木周围用各种栅栏、绿篱或其它形式围栏防护；高大乔木采取支柱、绑扎、加土、扶正、疏枝、打地桩等综合措施；对树体歪倒的树木及时扶正，就地种植难以成活的树木，将树冠强截后适地种植养护。</w:t>
            </w:r>
          </w:p>
        </w:tc>
      </w:tr>
      <w:tr w14:paraId="7BB4A1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6" w:type="dxa"/>
            <w:bottom w:w="0" w:type="dxa"/>
            <w:right w:w="36" w:type="dxa"/>
          </w:tblCellMar>
        </w:tblPrEx>
        <w:trPr>
          <w:trHeight w:val="315" w:hRule="atLeast"/>
          <w:jc w:val="center"/>
        </w:trPr>
        <w:tc>
          <w:tcPr>
            <w:tcW w:w="1031" w:type="dxa"/>
            <w:vMerge w:val="continue"/>
            <w:tcBorders>
              <w:left w:val="single" w:color="000000" w:sz="4" w:space="0"/>
              <w:right w:val="single" w:color="000000" w:sz="4" w:space="0"/>
            </w:tcBorders>
            <w:noWrap w:val="0"/>
            <w:vAlign w:val="center"/>
          </w:tcPr>
          <w:p w14:paraId="190DC50D">
            <w:pPr>
              <w:autoSpaceDN w:val="0"/>
              <w:spacing w:line="240" w:lineRule="atLeast"/>
              <w:rPr>
                <w:rFonts w:hint="eastAsia" w:ascii="宋体" w:hAnsi="Calibri" w:cs="宋体"/>
                <w:color w:val="000000"/>
                <w:kern w:val="0"/>
                <w:sz w:val="20"/>
                <w:szCs w:val="20"/>
              </w:rPr>
            </w:pPr>
          </w:p>
        </w:tc>
        <w:tc>
          <w:tcPr>
            <w:tcW w:w="851" w:type="dxa"/>
            <w:vMerge w:val="continue"/>
            <w:tcBorders>
              <w:left w:val="single" w:color="000000" w:sz="4" w:space="0"/>
              <w:right w:val="single" w:color="000000" w:sz="4" w:space="0"/>
            </w:tcBorders>
            <w:noWrap w:val="0"/>
            <w:vAlign w:val="center"/>
          </w:tcPr>
          <w:p w14:paraId="0CD65F03">
            <w:pPr>
              <w:autoSpaceDE w:val="0"/>
              <w:autoSpaceDN w:val="0"/>
              <w:adjustRightInd w:val="0"/>
              <w:spacing w:line="240" w:lineRule="atLeast"/>
              <w:rPr>
                <w:rFonts w:hint="eastAsia" w:ascii="宋体" w:hAnsi="Calibri" w:cs="宋体"/>
                <w:color w:val="000000"/>
                <w:kern w:val="0"/>
                <w:sz w:val="20"/>
                <w:szCs w:val="20"/>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314BEA76">
            <w:pPr>
              <w:autoSpaceDE w:val="0"/>
              <w:autoSpaceDN w:val="0"/>
              <w:adjustRightInd w:val="0"/>
              <w:spacing w:line="240" w:lineRule="atLeast"/>
              <w:rPr>
                <w:rFonts w:hint="eastAsia" w:ascii="宋体" w:hAnsi="Calibri" w:cs="宋体"/>
                <w:color w:val="000000"/>
                <w:kern w:val="0"/>
                <w:sz w:val="20"/>
                <w:szCs w:val="20"/>
              </w:rPr>
            </w:pPr>
            <w:r>
              <w:rPr>
                <w:rFonts w:ascii="宋体" w:hAnsi="Calibri" w:cs="宋体"/>
                <w:color w:val="000000"/>
                <w:kern w:val="0"/>
                <w:sz w:val="20"/>
                <w:szCs w:val="20"/>
              </w:rPr>
              <w:t>12</w:t>
            </w:r>
            <w:r>
              <w:rPr>
                <w:rFonts w:hint="eastAsia" w:ascii="宋体" w:hAnsi="Calibri" w:cs="宋体"/>
                <w:color w:val="000000"/>
                <w:kern w:val="0"/>
                <w:sz w:val="20"/>
                <w:szCs w:val="20"/>
              </w:rPr>
              <w:t>月份之前</w:t>
            </w:r>
          </w:p>
        </w:tc>
        <w:tc>
          <w:tcPr>
            <w:tcW w:w="5329" w:type="dxa"/>
            <w:tcBorders>
              <w:left w:val="single" w:color="000000" w:sz="4" w:space="0"/>
              <w:right w:val="single" w:color="000000" w:sz="4" w:space="0"/>
            </w:tcBorders>
            <w:noWrap w:val="0"/>
            <w:vAlign w:val="center"/>
          </w:tcPr>
          <w:p w14:paraId="609DDEF0">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主杆包扎、冬季涂白、设防风障等防寒措施，</w:t>
            </w:r>
          </w:p>
        </w:tc>
      </w:tr>
      <w:tr w14:paraId="4BB14E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6" w:type="dxa"/>
            <w:bottom w:w="0" w:type="dxa"/>
            <w:right w:w="36" w:type="dxa"/>
          </w:tblCellMar>
        </w:tblPrEx>
        <w:trPr>
          <w:trHeight w:val="315" w:hRule="atLeast"/>
          <w:jc w:val="center"/>
        </w:trPr>
        <w:tc>
          <w:tcPr>
            <w:tcW w:w="1031" w:type="dxa"/>
            <w:vMerge w:val="continue"/>
            <w:tcBorders>
              <w:left w:val="single" w:color="000000" w:sz="4" w:space="0"/>
              <w:bottom w:val="single" w:color="000000" w:sz="4" w:space="0"/>
              <w:right w:val="single" w:color="000000" w:sz="4" w:space="0"/>
            </w:tcBorders>
            <w:noWrap w:val="0"/>
            <w:vAlign w:val="center"/>
          </w:tcPr>
          <w:p w14:paraId="472F612A">
            <w:pPr>
              <w:autoSpaceDN w:val="0"/>
              <w:spacing w:line="240" w:lineRule="atLeast"/>
              <w:rPr>
                <w:rFonts w:hint="eastAsia" w:ascii="宋体" w:hAnsi="Calibri" w:cs="宋体"/>
                <w:color w:val="000000"/>
                <w:kern w:val="0"/>
                <w:sz w:val="20"/>
                <w:szCs w:val="20"/>
              </w:rPr>
            </w:pPr>
          </w:p>
        </w:tc>
        <w:tc>
          <w:tcPr>
            <w:tcW w:w="851" w:type="dxa"/>
            <w:vMerge w:val="continue"/>
            <w:tcBorders>
              <w:left w:val="single" w:color="000000" w:sz="4" w:space="0"/>
              <w:bottom w:val="single" w:color="000000" w:sz="4" w:space="0"/>
              <w:right w:val="single" w:color="000000" w:sz="4" w:space="0"/>
            </w:tcBorders>
            <w:noWrap w:val="0"/>
            <w:vAlign w:val="center"/>
          </w:tcPr>
          <w:p w14:paraId="59F63E42">
            <w:pPr>
              <w:autoSpaceDE w:val="0"/>
              <w:autoSpaceDN w:val="0"/>
              <w:adjustRightInd w:val="0"/>
              <w:spacing w:line="240" w:lineRule="atLeast"/>
              <w:rPr>
                <w:rFonts w:hint="eastAsia" w:ascii="宋体" w:hAnsi="Calibri" w:cs="宋体"/>
                <w:color w:val="000000"/>
                <w:kern w:val="0"/>
                <w:sz w:val="20"/>
                <w:szCs w:val="20"/>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55ED9422">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适时</w:t>
            </w:r>
          </w:p>
        </w:tc>
        <w:tc>
          <w:tcPr>
            <w:tcW w:w="5329" w:type="dxa"/>
            <w:tcBorders>
              <w:left w:val="single" w:color="000000" w:sz="4" w:space="0"/>
              <w:bottom w:val="single" w:color="000000" w:sz="4" w:space="0"/>
              <w:right w:val="single" w:color="000000" w:sz="4" w:space="0"/>
            </w:tcBorders>
            <w:noWrap w:val="0"/>
            <w:vAlign w:val="center"/>
          </w:tcPr>
          <w:p w14:paraId="39CD160C">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松土（选在晴朗或初晴天气，且土壤含水</w:t>
            </w:r>
            <w:r>
              <w:rPr>
                <w:rFonts w:ascii="宋体" w:hAnsi="Calibri" w:cs="宋体"/>
                <w:color w:val="000000"/>
                <w:kern w:val="0"/>
                <w:sz w:val="20"/>
                <w:szCs w:val="20"/>
              </w:rPr>
              <w:t>50%</w:t>
            </w:r>
            <w:r>
              <w:rPr>
                <w:rFonts w:hint="eastAsia" w:ascii="宋体" w:hAnsi="Calibri" w:cs="宋体"/>
                <w:color w:val="000000"/>
                <w:kern w:val="0"/>
                <w:sz w:val="20"/>
                <w:szCs w:val="20"/>
              </w:rPr>
              <w:t>左右的时候进行）、培土，清理树枝积雪，有倒伏危险的树木应立支撑保护</w:t>
            </w:r>
          </w:p>
        </w:tc>
      </w:tr>
    </w:tbl>
    <w:p w14:paraId="3B1AE231">
      <w:pPr>
        <w:autoSpaceDE w:val="0"/>
        <w:autoSpaceDN w:val="0"/>
        <w:spacing w:line="360" w:lineRule="auto"/>
        <w:ind w:left="92" w:leftChars="44" w:right="162" w:rightChars="77" w:firstLine="482"/>
        <w:rPr>
          <w:rFonts w:hint="eastAsia" w:ascii="宋体" w:hAnsi="宋体"/>
          <w:color w:val="000000"/>
          <w:sz w:val="24"/>
        </w:rPr>
      </w:pPr>
      <w:r>
        <w:rPr>
          <w:rFonts w:hint="eastAsia" w:ascii="宋体" w:hAnsi="宋体"/>
          <w:color w:val="000000"/>
          <w:sz w:val="24"/>
        </w:rPr>
        <w:t>说明：</w:t>
      </w:r>
    </w:p>
    <w:p w14:paraId="4C13358D">
      <w:pPr>
        <w:autoSpaceDE w:val="0"/>
        <w:autoSpaceDN w:val="0"/>
        <w:spacing w:line="360" w:lineRule="auto"/>
        <w:ind w:left="92" w:leftChars="44" w:right="162" w:rightChars="77" w:firstLine="482"/>
        <w:rPr>
          <w:rFonts w:hint="eastAsia" w:ascii="宋体" w:hAnsi="宋体"/>
          <w:color w:val="000000"/>
          <w:sz w:val="24"/>
        </w:rPr>
      </w:pPr>
      <w:r>
        <w:rPr>
          <w:rFonts w:hint="eastAsia" w:ascii="宋体" w:hAnsi="宋体"/>
          <w:color w:val="000000"/>
          <w:sz w:val="24"/>
        </w:rPr>
        <w:t>（1）绿化养护（参照江苏省城市园林绿化养护管理分级标准二级管理），负责服务区域内绿化养护、管理及规范监督绿化带内其他施工管理，无石块、建筑垃圾等。协助采购人做好节假日和学校重大活动的校园美化工作。</w:t>
      </w:r>
    </w:p>
    <w:p w14:paraId="61583DBA">
      <w:pPr>
        <w:autoSpaceDE w:val="0"/>
        <w:autoSpaceDN w:val="0"/>
        <w:spacing w:line="360" w:lineRule="auto"/>
        <w:ind w:left="92" w:leftChars="44" w:right="162" w:rightChars="77" w:firstLine="482"/>
        <w:rPr>
          <w:rFonts w:hint="eastAsia" w:ascii="宋体" w:hAnsi="宋体"/>
          <w:color w:val="000000"/>
          <w:sz w:val="24"/>
        </w:rPr>
      </w:pPr>
      <w:r>
        <w:rPr>
          <w:rFonts w:hint="eastAsia" w:ascii="宋体" w:hAnsi="宋体"/>
          <w:color w:val="000000"/>
          <w:sz w:val="24"/>
        </w:rPr>
        <w:t>（2）校园巡查：负责校园日常巡查工作，制止破坏绿化行为。</w:t>
      </w:r>
    </w:p>
    <w:p w14:paraId="2A82E744">
      <w:pPr>
        <w:autoSpaceDE w:val="0"/>
        <w:autoSpaceDN w:val="0"/>
        <w:spacing w:line="360" w:lineRule="auto"/>
        <w:ind w:left="92" w:leftChars="44" w:right="162" w:rightChars="77" w:firstLine="482"/>
        <w:rPr>
          <w:rFonts w:hint="eastAsia" w:ascii="宋体" w:hAnsi="宋体"/>
          <w:color w:val="000000"/>
          <w:sz w:val="24"/>
        </w:rPr>
      </w:pPr>
      <w:r>
        <w:rPr>
          <w:rFonts w:hint="eastAsia" w:ascii="宋体" w:hAnsi="宋体"/>
          <w:color w:val="000000"/>
          <w:sz w:val="24"/>
        </w:rPr>
        <w:t>（3）灾害预防救治：做好防旱、防洪、抗台风，关注天气情况，提前加固树木，倒伏树木及时扶正，枯树、死树及时移除。</w:t>
      </w:r>
    </w:p>
    <w:p w14:paraId="26EA0EBB">
      <w:pPr>
        <w:autoSpaceDE w:val="0"/>
        <w:autoSpaceDN w:val="0"/>
        <w:spacing w:line="360" w:lineRule="auto"/>
        <w:ind w:left="92" w:leftChars="44" w:right="162" w:rightChars="77" w:firstLine="482"/>
        <w:rPr>
          <w:rFonts w:ascii="宋体" w:hAnsi="宋体"/>
          <w:color w:val="000000"/>
          <w:sz w:val="24"/>
        </w:rPr>
      </w:pPr>
      <w:r>
        <w:rPr>
          <w:rFonts w:hint="eastAsia" w:ascii="宋体" w:hAnsi="宋体"/>
          <w:b/>
          <w:bCs/>
          <w:color w:val="000000"/>
          <w:sz w:val="24"/>
        </w:rPr>
        <w:t>3.5水域治理</w:t>
      </w:r>
    </w:p>
    <w:tbl>
      <w:tblPr>
        <w:tblStyle w:val="8"/>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2"/>
        <w:gridCol w:w="851"/>
        <w:gridCol w:w="1701"/>
        <w:gridCol w:w="5528"/>
      </w:tblGrid>
      <w:tr w14:paraId="5BAE4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1" w:hRule="atLeast"/>
        </w:trPr>
        <w:tc>
          <w:tcPr>
            <w:tcW w:w="992" w:type="dxa"/>
            <w:noWrap w:val="0"/>
            <w:vAlign w:val="center"/>
          </w:tcPr>
          <w:p w14:paraId="10A8E1AE">
            <w:pPr>
              <w:autoSpaceDE w:val="0"/>
              <w:autoSpaceDN w:val="0"/>
              <w:adjustRightInd w:val="0"/>
              <w:spacing w:line="360" w:lineRule="auto"/>
              <w:jc w:val="center"/>
              <w:rPr>
                <w:rFonts w:ascii="宋体" w:hAnsi="Calibri" w:cs="宋体"/>
                <w:b/>
                <w:color w:val="000000"/>
                <w:kern w:val="0"/>
                <w:szCs w:val="20"/>
              </w:rPr>
            </w:pPr>
            <w:r>
              <w:rPr>
                <w:rFonts w:hint="eastAsia" w:ascii="宋体" w:hAnsi="Calibri" w:cs="宋体"/>
                <w:b/>
                <w:color w:val="000000"/>
                <w:kern w:val="0"/>
                <w:szCs w:val="20"/>
              </w:rPr>
              <w:t>项目</w:t>
            </w:r>
          </w:p>
        </w:tc>
        <w:tc>
          <w:tcPr>
            <w:tcW w:w="851" w:type="dxa"/>
            <w:noWrap w:val="0"/>
            <w:vAlign w:val="center"/>
          </w:tcPr>
          <w:p w14:paraId="15B90AE8">
            <w:pPr>
              <w:autoSpaceDE w:val="0"/>
              <w:autoSpaceDN w:val="0"/>
              <w:adjustRightInd w:val="0"/>
              <w:spacing w:line="360" w:lineRule="auto"/>
              <w:jc w:val="center"/>
              <w:rPr>
                <w:rFonts w:ascii="宋体" w:hAnsi="Calibri" w:cs="宋体"/>
                <w:b/>
                <w:color w:val="000000"/>
                <w:kern w:val="0"/>
                <w:szCs w:val="20"/>
              </w:rPr>
            </w:pPr>
            <w:r>
              <w:rPr>
                <w:rFonts w:hint="eastAsia" w:ascii="宋体" w:hAnsi="Calibri" w:cs="宋体"/>
                <w:b/>
                <w:color w:val="000000"/>
                <w:kern w:val="0"/>
                <w:szCs w:val="20"/>
              </w:rPr>
              <w:t>内容</w:t>
            </w:r>
          </w:p>
        </w:tc>
        <w:tc>
          <w:tcPr>
            <w:tcW w:w="1701" w:type="dxa"/>
            <w:noWrap w:val="0"/>
            <w:vAlign w:val="center"/>
          </w:tcPr>
          <w:p w14:paraId="086CE33E">
            <w:pPr>
              <w:autoSpaceDE w:val="0"/>
              <w:autoSpaceDN w:val="0"/>
              <w:adjustRightInd w:val="0"/>
              <w:spacing w:line="360" w:lineRule="auto"/>
              <w:jc w:val="center"/>
              <w:rPr>
                <w:rFonts w:ascii="宋体" w:hAnsi="Calibri" w:cs="宋体"/>
                <w:b/>
                <w:color w:val="000000"/>
                <w:kern w:val="0"/>
                <w:szCs w:val="20"/>
              </w:rPr>
            </w:pPr>
            <w:r>
              <w:rPr>
                <w:rFonts w:hint="eastAsia" w:ascii="宋体" w:hAnsi="Calibri" w:cs="宋体"/>
                <w:b/>
                <w:color w:val="000000"/>
                <w:kern w:val="0"/>
                <w:szCs w:val="20"/>
              </w:rPr>
              <w:t>频次</w:t>
            </w:r>
          </w:p>
        </w:tc>
        <w:tc>
          <w:tcPr>
            <w:tcW w:w="5528" w:type="dxa"/>
            <w:noWrap w:val="0"/>
            <w:vAlign w:val="center"/>
          </w:tcPr>
          <w:p w14:paraId="15FFF332">
            <w:pPr>
              <w:autoSpaceDE w:val="0"/>
              <w:autoSpaceDN w:val="0"/>
              <w:adjustRightInd w:val="0"/>
              <w:spacing w:line="360" w:lineRule="auto"/>
              <w:jc w:val="center"/>
              <w:rPr>
                <w:rFonts w:ascii="宋体" w:hAnsi="Calibri" w:cs="宋体"/>
                <w:b/>
                <w:color w:val="000000"/>
                <w:kern w:val="0"/>
                <w:szCs w:val="20"/>
              </w:rPr>
            </w:pPr>
            <w:r>
              <w:rPr>
                <w:rFonts w:hint="eastAsia" w:ascii="宋体" w:hAnsi="Calibri" w:cs="宋体"/>
                <w:b/>
                <w:color w:val="000000"/>
                <w:kern w:val="0"/>
                <w:szCs w:val="20"/>
              </w:rPr>
              <w:t>服务标准</w:t>
            </w:r>
          </w:p>
        </w:tc>
      </w:tr>
      <w:tr w14:paraId="583BF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92" w:type="dxa"/>
            <w:vMerge w:val="restart"/>
            <w:noWrap w:val="0"/>
            <w:vAlign w:val="center"/>
          </w:tcPr>
          <w:p w14:paraId="2B282079">
            <w:pPr>
              <w:autoSpaceDE w:val="0"/>
              <w:autoSpaceDN w:val="0"/>
              <w:adjustRightInd w:val="0"/>
              <w:spacing w:line="240" w:lineRule="atLeast"/>
              <w:jc w:val="center"/>
              <w:rPr>
                <w:rFonts w:ascii="宋体" w:hAnsi="Calibri" w:cs="宋体"/>
                <w:color w:val="000000"/>
                <w:kern w:val="0"/>
                <w:sz w:val="20"/>
                <w:szCs w:val="20"/>
              </w:rPr>
            </w:pPr>
            <w:r>
              <w:rPr>
                <w:rFonts w:hint="eastAsia" w:ascii="宋体" w:hAnsi="Calibri" w:cs="宋体"/>
                <w:color w:val="000000"/>
                <w:kern w:val="0"/>
                <w:sz w:val="20"/>
                <w:szCs w:val="20"/>
              </w:rPr>
              <w:t>水面</w:t>
            </w:r>
          </w:p>
        </w:tc>
        <w:tc>
          <w:tcPr>
            <w:tcW w:w="851" w:type="dxa"/>
            <w:noWrap w:val="0"/>
            <w:vAlign w:val="center"/>
          </w:tcPr>
          <w:p w14:paraId="41C3A184">
            <w:pPr>
              <w:autoSpaceDE w:val="0"/>
              <w:autoSpaceDN w:val="0"/>
              <w:adjustRightInd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保洁</w:t>
            </w:r>
          </w:p>
        </w:tc>
        <w:tc>
          <w:tcPr>
            <w:tcW w:w="1701" w:type="dxa"/>
            <w:noWrap w:val="0"/>
            <w:vAlign w:val="center"/>
          </w:tcPr>
          <w:p w14:paraId="74543A56">
            <w:pPr>
              <w:autoSpaceDE w:val="0"/>
              <w:autoSpaceDN w:val="0"/>
              <w:adjustRightInd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每天2次，且巡回保洁</w:t>
            </w:r>
          </w:p>
        </w:tc>
        <w:tc>
          <w:tcPr>
            <w:tcW w:w="5528" w:type="dxa"/>
            <w:noWrap w:val="0"/>
            <w:vAlign w:val="center"/>
          </w:tcPr>
          <w:p w14:paraId="0497ACFD">
            <w:pPr>
              <w:autoSpaceDE w:val="0"/>
              <w:autoSpaceDN w:val="0"/>
              <w:adjustRightInd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水面无蓝藻、落叶、白色垃圾等漂浮物</w:t>
            </w:r>
          </w:p>
        </w:tc>
      </w:tr>
      <w:tr w14:paraId="4F79D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92" w:type="dxa"/>
            <w:vMerge w:val="continue"/>
            <w:noWrap w:val="0"/>
            <w:vAlign w:val="center"/>
          </w:tcPr>
          <w:p w14:paraId="08E44D7D">
            <w:pPr>
              <w:autoSpaceDE w:val="0"/>
              <w:autoSpaceDN w:val="0"/>
              <w:adjustRightInd w:val="0"/>
              <w:spacing w:line="240" w:lineRule="atLeast"/>
              <w:jc w:val="center"/>
              <w:rPr>
                <w:rFonts w:ascii="宋体" w:hAnsi="Calibri" w:cs="宋体"/>
                <w:color w:val="000000"/>
                <w:kern w:val="0"/>
                <w:sz w:val="20"/>
                <w:szCs w:val="20"/>
              </w:rPr>
            </w:pPr>
          </w:p>
        </w:tc>
        <w:tc>
          <w:tcPr>
            <w:tcW w:w="851" w:type="dxa"/>
            <w:noWrap w:val="0"/>
            <w:vAlign w:val="center"/>
          </w:tcPr>
          <w:p w14:paraId="0CFC9FAD">
            <w:pPr>
              <w:autoSpaceDE w:val="0"/>
              <w:autoSpaceDN w:val="0"/>
              <w:adjustRightInd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治理</w:t>
            </w:r>
          </w:p>
        </w:tc>
        <w:tc>
          <w:tcPr>
            <w:tcW w:w="1701" w:type="dxa"/>
            <w:noWrap w:val="0"/>
            <w:vAlign w:val="center"/>
          </w:tcPr>
          <w:p w14:paraId="0E13906B">
            <w:pPr>
              <w:autoSpaceDE w:val="0"/>
              <w:autoSpaceDN w:val="0"/>
              <w:adjustRightInd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适时</w:t>
            </w:r>
          </w:p>
        </w:tc>
        <w:tc>
          <w:tcPr>
            <w:tcW w:w="5528" w:type="dxa"/>
            <w:noWrap w:val="0"/>
            <w:vAlign w:val="center"/>
          </w:tcPr>
          <w:p w14:paraId="3D7B1198">
            <w:pPr>
              <w:autoSpaceDE w:val="0"/>
              <w:autoSpaceDN w:val="0"/>
              <w:adjustRightInd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水质清澈，无水花生、水草、水藻、芦苇等水生植物滋生，采用高效、低毒农药和人工清捞等方式结合进行，使用农药不得影响生态环境</w:t>
            </w:r>
          </w:p>
        </w:tc>
      </w:tr>
      <w:tr w14:paraId="0F5B5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992" w:type="dxa"/>
            <w:vMerge w:val="continue"/>
            <w:noWrap w:val="0"/>
            <w:vAlign w:val="center"/>
          </w:tcPr>
          <w:p w14:paraId="55AF85CD">
            <w:pPr>
              <w:autoSpaceDE w:val="0"/>
              <w:autoSpaceDN w:val="0"/>
              <w:adjustRightInd w:val="0"/>
              <w:spacing w:line="240" w:lineRule="atLeast"/>
              <w:jc w:val="center"/>
              <w:rPr>
                <w:rFonts w:ascii="宋体" w:hAnsi="Calibri" w:cs="宋体"/>
                <w:color w:val="000000"/>
                <w:kern w:val="0"/>
                <w:sz w:val="20"/>
                <w:szCs w:val="20"/>
              </w:rPr>
            </w:pPr>
          </w:p>
        </w:tc>
        <w:tc>
          <w:tcPr>
            <w:tcW w:w="851" w:type="dxa"/>
            <w:noWrap w:val="0"/>
            <w:vAlign w:val="center"/>
          </w:tcPr>
          <w:p w14:paraId="076273F0">
            <w:pPr>
              <w:autoSpaceDE w:val="0"/>
              <w:autoSpaceDN w:val="0"/>
              <w:adjustRightInd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给排水</w:t>
            </w:r>
          </w:p>
        </w:tc>
        <w:tc>
          <w:tcPr>
            <w:tcW w:w="1701" w:type="dxa"/>
            <w:noWrap w:val="0"/>
            <w:vAlign w:val="center"/>
          </w:tcPr>
          <w:p w14:paraId="49A5DE3B">
            <w:pPr>
              <w:autoSpaceDE w:val="0"/>
              <w:autoSpaceDN w:val="0"/>
              <w:adjustRightInd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适时</w:t>
            </w:r>
          </w:p>
        </w:tc>
        <w:tc>
          <w:tcPr>
            <w:tcW w:w="5528" w:type="dxa"/>
            <w:noWrap w:val="0"/>
            <w:vAlign w:val="center"/>
          </w:tcPr>
          <w:p w14:paraId="65930FFC">
            <w:pPr>
              <w:autoSpaceDE w:val="0"/>
              <w:autoSpaceDN w:val="0"/>
              <w:adjustRightInd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保持水质清澈，配合校方施工，适时给排水。</w:t>
            </w:r>
          </w:p>
        </w:tc>
      </w:tr>
      <w:tr w14:paraId="05905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992" w:type="dxa"/>
            <w:vMerge w:val="continue"/>
            <w:noWrap w:val="0"/>
            <w:vAlign w:val="center"/>
          </w:tcPr>
          <w:p w14:paraId="5697AF2D">
            <w:pPr>
              <w:autoSpaceDE w:val="0"/>
              <w:autoSpaceDN w:val="0"/>
              <w:adjustRightInd w:val="0"/>
              <w:spacing w:line="240" w:lineRule="atLeast"/>
              <w:jc w:val="center"/>
              <w:rPr>
                <w:rFonts w:ascii="宋体" w:hAnsi="Calibri" w:cs="宋体"/>
                <w:color w:val="000000"/>
                <w:kern w:val="0"/>
                <w:sz w:val="20"/>
                <w:szCs w:val="20"/>
              </w:rPr>
            </w:pPr>
          </w:p>
        </w:tc>
        <w:tc>
          <w:tcPr>
            <w:tcW w:w="851" w:type="dxa"/>
            <w:noWrap w:val="0"/>
            <w:vAlign w:val="center"/>
          </w:tcPr>
          <w:p w14:paraId="22B8E210">
            <w:pPr>
              <w:autoSpaceDE w:val="0"/>
              <w:autoSpaceDN w:val="0"/>
              <w:adjustRightInd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观赏鱼</w:t>
            </w:r>
          </w:p>
        </w:tc>
        <w:tc>
          <w:tcPr>
            <w:tcW w:w="1701" w:type="dxa"/>
            <w:noWrap w:val="0"/>
            <w:vAlign w:val="center"/>
          </w:tcPr>
          <w:p w14:paraId="1540B664">
            <w:pPr>
              <w:autoSpaceDE w:val="0"/>
              <w:autoSpaceDN w:val="0"/>
              <w:adjustRightInd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按时喂食</w:t>
            </w:r>
          </w:p>
        </w:tc>
        <w:tc>
          <w:tcPr>
            <w:tcW w:w="5528" w:type="dxa"/>
            <w:noWrap w:val="0"/>
            <w:vAlign w:val="center"/>
          </w:tcPr>
          <w:p w14:paraId="65392067">
            <w:pPr>
              <w:autoSpaceDE w:val="0"/>
              <w:autoSpaceDN w:val="0"/>
              <w:adjustRightInd w:val="0"/>
              <w:spacing w:line="240" w:lineRule="atLeast"/>
              <w:rPr>
                <w:rFonts w:hint="eastAsia" w:ascii="宋体" w:hAnsi="Calibri" w:cs="宋体"/>
                <w:color w:val="000000"/>
                <w:kern w:val="0"/>
                <w:sz w:val="20"/>
                <w:szCs w:val="20"/>
              </w:rPr>
            </w:pPr>
            <w:r>
              <w:rPr>
                <w:rFonts w:hint="eastAsia" w:ascii="宋体" w:hAnsi="Calibri" w:cs="宋体"/>
                <w:color w:val="000000"/>
                <w:kern w:val="0"/>
                <w:sz w:val="20"/>
                <w:szCs w:val="20"/>
              </w:rPr>
              <w:t>中心花园水池，保持适量的观赏鱼（</w:t>
            </w:r>
            <w:r>
              <w:rPr>
                <w:rFonts w:hint="eastAsia" w:ascii="宋体" w:hAnsi="宋体" w:cs="宋体"/>
                <w:color w:val="000000"/>
                <w:kern w:val="0"/>
                <w:sz w:val="20"/>
                <w:szCs w:val="20"/>
              </w:rPr>
              <w:t>≧</w:t>
            </w:r>
            <w:r>
              <w:rPr>
                <w:rFonts w:hint="eastAsia" w:ascii="宋体" w:hAnsi="Calibri" w:cs="宋体"/>
                <w:color w:val="000000"/>
                <w:kern w:val="0"/>
                <w:sz w:val="20"/>
                <w:szCs w:val="20"/>
              </w:rPr>
              <w:t>200条）</w:t>
            </w:r>
          </w:p>
        </w:tc>
      </w:tr>
      <w:tr w14:paraId="6F3DF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trPr>
        <w:tc>
          <w:tcPr>
            <w:tcW w:w="992" w:type="dxa"/>
            <w:vMerge w:val="restart"/>
            <w:noWrap w:val="0"/>
            <w:vAlign w:val="center"/>
          </w:tcPr>
          <w:p w14:paraId="775CBA85">
            <w:pPr>
              <w:autoSpaceDE w:val="0"/>
              <w:autoSpaceDN w:val="0"/>
              <w:adjustRightInd w:val="0"/>
              <w:spacing w:line="240" w:lineRule="atLeast"/>
              <w:jc w:val="center"/>
              <w:rPr>
                <w:rFonts w:ascii="宋体" w:hAnsi="Calibri" w:cs="宋体"/>
                <w:color w:val="000000"/>
                <w:kern w:val="0"/>
                <w:sz w:val="20"/>
                <w:szCs w:val="20"/>
              </w:rPr>
            </w:pPr>
            <w:r>
              <w:rPr>
                <w:rFonts w:hint="eastAsia" w:ascii="宋体" w:hAnsi="Calibri" w:cs="宋体"/>
                <w:color w:val="000000"/>
                <w:kern w:val="0"/>
                <w:sz w:val="20"/>
                <w:szCs w:val="20"/>
              </w:rPr>
              <w:t>护坡</w:t>
            </w:r>
          </w:p>
        </w:tc>
        <w:tc>
          <w:tcPr>
            <w:tcW w:w="851" w:type="dxa"/>
            <w:noWrap w:val="0"/>
            <w:vAlign w:val="center"/>
          </w:tcPr>
          <w:p w14:paraId="69276700">
            <w:pPr>
              <w:autoSpaceDE w:val="0"/>
              <w:autoSpaceDN w:val="0"/>
              <w:adjustRightInd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保洁</w:t>
            </w:r>
          </w:p>
        </w:tc>
        <w:tc>
          <w:tcPr>
            <w:tcW w:w="1701" w:type="dxa"/>
            <w:noWrap w:val="0"/>
            <w:vAlign w:val="center"/>
          </w:tcPr>
          <w:p w14:paraId="38CFCB91">
            <w:pPr>
              <w:autoSpaceDE w:val="0"/>
              <w:autoSpaceDN w:val="0"/>
              <w:adjustRightInd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每天一次，且巡回保洁</w:t>
            </w:r>
          </w:p>
        </w:tc>
        <w:tc>
          <w:tcPr>
            <w:tcW w:w="5528" w:type="dxa"/>
            <w:noWrap w:val="0"/>
            <w:vAlign w:val="center"/>
          </w:tcPr>
          <w:p w14:paraId="351235F6">
            <w:pPr>
              <w:autoSpaceDE w:val="0"/>
              <w:autoSpaceDN w:val="0"/>
              <w:adjustRightInd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护坡水草存放不得超过3天、无白色垃圾、无施工垃圾，坡面整洁干净，危险地段设立警示标识</w:t>
            </w:r>
          </w:p>
        </w:tc>
      </w:tr>
      <w:tr w14:paraId="7F260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992" w:type="dxa"/>
            <w:vMerge w:val="continue"/>
            <w:noWrap w:val="0"/>
            <w:vAlign w:val="center"/>
          </w:tcPr>
          <w:p w14:paraId="60A86273">
            <w:pPr>
              <w:autoSpaceDE w:val="0"/>
              <w:autoSpaceDN w:val="0"/>
              <w:adjustRightInd w:val="0"/>
              <w:spacing w:line="240" w:lineRule="atLeast"/>
              <w:jc w:val="center"/>
              <w:rPr>
                <w:rFonts w:ascii="宋体" w:hAnsi="Calibri" w:cs="宋体"/>
                <w:color w:val="000000"/>
                <w:kern w:val="0"/>
                <w:sz w:val="20"/>
                <w:szCs w:val="20"/>
              </w:rPr>
            </w:pPr>
          </w:p>
        </w:tc>
        <w:tc>
          <w:tcPr>
            <w:tcW w:w="851" w:type="dxa"/>
            <w:noWrap w:val="0"/>
            <w:vAlign w:val="center"/>
          </w:tcPr>
          <w:p w14:paraId="34162425">
            <w:pPr>
              <w:autoSpaceDE w:val="0"/>
              <w:autoSpaceDN w:val="0"/>
              <w:adjustRightInd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养护</w:t>
            </w:r>
          </w:p>
        </w:tc>
        <w:tc>
          <w:tcPr>
            <w:tcW w:w="1701" w:type="dxa"/>
            <w:noWrap w:val="0"/>
            <w:vAlign w:val="center"/>
          </w:tcPr>
          <w:p w14:paraId="0127CFD4">
            <w:pPr>
              <w:autoSpaceDE w:val="0"/>
              <w:autoSpaceDN w:val="0"/>
              <w:adjustRightInd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适时</w:t>
            </w:r>
          </w:p>
        </w:tc>
        <w:tc>
          <w:tcPr>
            <w:tcW w:w="5528" w:type="dxa"/>
            <w:noWrap w:val="0"/>
            <w:vAlign w:val="center"/>
          </w:tcPr>
          <w:p w14:paraId="16F92015">
            <w:pPr>
              <w:autoSpaceDE w:val="0"/>
              <w:autoSpaceDN w:val="0"/>
              <w:adjustRightInd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护坡无泥土、岩石、台阶松动，护栏无缺损、无杂草</w:t>
            </w:r>
          </w:p>
        </w:tc>
      </w:tr>
      <w:tr w14:paraId="1D821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rPr>
        <w:tc>
          <w:tcPr>
            <w:tcW w:w="992" w:type="dxa"/>
            <w:noWrap w:val="0"/>
            <w:vAlign w:val="center"/>
          </w:tcPr>
          <w:p w14:paraId="39FC0AFF">
            <w:pPr>
              <w:autoSpaceDE w:val="0"/>
              <w:autoSpaceDN w:val="0"/>
              <w:adjustRightInd w:val="0"/>
              <w:spacing w:line="240" w:lineRule="atLeast"/>
              <w:jc w:val="center"/>
              <w:rPr>
                <w:rFonts w:ascii="宋体" w:hAnsi="Calibri" w:cs="宋体"/>
                <w:color w:val="000000"/>
                <w:kern w:val="0"/>
                <w:sz w:val="20"/>
                <w:szCs w:val="20"/>
              </w:rPr>
            </w:pPr>
            <w:r>
              <w:rPr>
                <w:rFonts w:hint="eastAsia" w:ascii="宋体" w:hAnsi="Calibri" w:cs="宋体"/>
                <w:color w:val="000000"/>
                <w:kern w:val="0"/>
                <w:sz w:val="20"/>
                <w:szCs w:val="20"/>
              </w:rPr>
              <w:t>闸阀、泵房</w:t>
            </w:r>
          </w:p>
        </w:tc>
        <w:tc>
          <w:tcPr>
            <w:tcW w:w="851" w:type="dxa"/>
            <w:noWrap w:val="0"/>
            <w:vAlign w:val="center"/>
          </w:tcPr>
          <w:p w14:paraId="648C0F63">
            <w:pPr>
              <w:autoSpaceDE w:val="0"/>
              <w:autoSpaceDN w:val="0"/>
              <w:adjustRightInd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保养维 修</w:t>
            </w:r>
          </w:p>
        </w:tc>
        <w:tc>
          <w:tcPr>
            <w:tcW w:w="1701" w:type="dxa"/>
            <w:noWrap w:val="0"/>
            <w:vAlign w:val="center"/>
          </w:tcPr>
          <w:p w14:paraId="70EB0369">
            <w:pPr>
              <w:autoSpaceDE w:val="0"/>
              <w:autoSpaceDN w:val="0"/>
              <w:adjustRightInd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适时</w:t>
            </w:r>
          </w:p>
        </w:tc>
        <w:tc>
          <w:tcPr>
            <w:tcW w:w="5528" w:type="dxa"/>
            <w:noWrap w:val="0"/>
            <w:vAlign w:val="center"/>
          </w:tcPr>
          <w:p w14:paraId="5B016ACB">
            <w:pPr>
              <w:autoSpaceDE w:val="0"/>
              <w:autoSpaceDN w:val="0"/>
              <w:adjustRightInd w:val="0"/>
              <w:spacing w:line="240" w:lineRule="atLeast"/>
              <w:rPr>
                <w:rFonts w:ascii="宋体" w:hAnsi="Calibri" w:cs="宋体"/>
                <w:color w:val="000000"/>
                <w:kern w:val="0"/>
                <w:sz w:val="20"/>
                <w:szCs w:val="20"/>
              </w:rPr>
            </w:pPr>
            <w:r>
              <w:rPr>
                <w:rFonts w:hint="eastAsia" w:ascii="宋体" w:hAnsi="Calibri" w:cs="宋体"/>
                <w:color w:val="000000"/>
                <w:kern w:val="0"/>
                <w:sz w:val="20"/>
                <w:szCs w:val="20"/>
              </w:rPr>
              <w:t>配件维修，水泵可以正常使用。暴雨期,做好防汛排涝工作,保证泵房不受影响.</w:t>
            </w:r>
          </w:p>
        </w:tc>
      </w:tr>
    </w:tbl>
    <w:p w14:paraId="1DB38D31">
      <w:pPr>
        <w:widowControl/>
        <w:autoSpaceDN w:val="0"/>
        <w:spacing w:line="360" w:lineRule="auto"/>
        <w:ind w:firstLine="598" w:firstLineChars="249"/>
        <w:rPr>
          <w:rFonts w:ascii="宋体" w:hAnsi="宋体"/>
          <w:b/>
          <w:bCs/>
          <w:color w:val="000000"/>
          <w:sz w:val="24"/>
        </w:rPr>
      </w:pPr>
      <w:r>
        <w:rPr>
          <w:rFonts w:hint="eastAsia" w:ascii="宋体" w:hAnsi="宋体"/>
          <w:b/>
          <w:bCs/>
          <w:color w:val="000000"/>
          <w:sz w:val="24"/>
        </w:rPr>
        <w:t>3.6管理要求</w:t>
      </w:r>
    </w:p>
    <w:p w14:paraId="5CA710D5">
      <w:pPr>
        <w:autoSpaceDE w:val="0"/>
        <w:autoSpaceDN w:val="0"/>
        <w:spacing w:line="360" w:lineRule="auto"/>
        <w:ind w:firstLine="480" w:firstLineChars="200"/>
        <w:rPr>
          <w:rFonts w:ascii="宋体" w:hAnsi="宋体"/>
          <w:color w:val="000000"/>
          <w:sz w:val="24"/>
        </w:rPr>
      </w:pPr>
      <w:r>
        <w:rPr>
          <w:rFonts w:hint="eastAsia" w:ascii="宋体" w:hAnsi="宋体"/>
          <w:color w:val="000000"/>
          <w:sz w:val="24"/>
        </w:rPr>
        <w:t>（1）严格执行学校有关</w:t>
      </w:r>
      <w:r>
        <w:rPr>
          <w:rFonts w:hint="eastAsia" w:ascii="宋体" w:hAnsi="宋体"/>
          <w:sz w:val="24"/>
        </w:rPr>
        <w:t>校园</w:t>
      </w:r>
      <w:r>
        <w:rPr>
          <w:rFonts w:hint="eastAsia" w:ascii="宋体" w:hAnsi="宋体"/>
          <w:color w:val="000000"/>
          <w:sz w:val="24"/>
        </w:rPr>
        <w:t>、楼宇管理的规章制度。</w:t>
      </w:r>
    </w:p>
    <w:p w14:paraId="0B2FE7B7">
      <w:pPr>
        <w:autoSpaceDE w:val="0"/>
        <w:autoSpaceDN w:val="0"/>
        <w:spacing w:line="360" w:lineRule="auto"/>
        <w:ind w:firstLine="480" w:firstLineChars="200"/>
        <w:rPr>
          <w:rFonts w:ascii="宋体" w:hAnsi="宋体"/>
          <w:color w:val="000000"/>
          <w:sz w:val="24"/>
        </w:rPr>
      </w:pPr>
      <w:r>
        <w:rPr>
          <w:rFonts w:hint="eastAsia" w:ascii="宋体" w:hAnsi="宋体"/>
          <w:color w:val="000000"/>
          <w:sz w:val="24"/>
        </w:rPr>
        <w:t>（2）制定各类安全管理制度及应急预案。管理规范，职责明确，重要规章制度上墙。</w:t>
      </w:r>
    </w:p>
    <w:p w14:paraId="1122E0B4">
      <w:pPr>
        <w:autoSpaceDE w:val="0"/>
        <w:autoSpaceDN w:val="0"/>
        <w:spacing w:line="360" w:lineRule="auto"/>
        <w:ind w:firstLine="480" w:firstLineChars="200"/>
        <w:rPr>
          <w:rFonts w:ascii="宋体" w:hAnsi="宋体"/>
          <w:color w:val="000000"/>
          <w:sz w:val="24"/>
        </w:rPr>
      </w:pPr>
      <w:r>
        <w:rPr>
          <w:rFonts w:hint="eastAsia" w:ascii="宋体" w:hAnsi="宋体"/>
          <w:color w:val="000000"/>
          <w:sz w:val="24"/>
        </w:rPr>
        <w:t>（3）每天上报辖区内工作情况，突发情况及时汇报。帮助协调第三方提供合格服务，如门锁、卡，洗衣机、热水器、太阳能、空调等服务商，多次（3次及以上）协调无果的，做好记录，报甲方协调。</w:t>
      </w:r>
    </w:p>
    <w:p w14:paraId="6D1CF1D9">
      <w:pPr>
        <w:autoSpaceDE w:val="0"/>
        <w:autoSpaceDN w:val="0"/>
        <w:spacing w:line="360" w:lineRule="auto"/>
        <w:ind w:firstLine="480" w:firstLineChars="200"/>
        <w:rPr>
          <w:rFonts w:ascii="宋体" w:hAnsi="宋体"/>
          <w:color w:val="000000"/>
          <w:sz w:val="24"/>
        </w:rPr>
      </w:pPr>
      <w:r>
        <w:rPr>
          <w:rFonts w:hint="eastAsia" w:ascii="宋体" w:hAnsi="宋体"/>
          <w:color w:val="000000"/>
          <w:sz w:val="24"/>
        </w:rPr>
        <w:t>（4）辖区内安全隐患排查，及时报送相关部门。</w:t>
      </w:r>
    </w:p>
    <w:p w14:paraId="0E759D0F">
      <w:pPr>
        <w:autoSpaceDE w:val="0"/>
        <w:autoSpaceDN w:val="0"/>
        <w:spacing w:line="360" w:lineRule="auto"/>
        <w:ind w:firstLine="480" w:firstLineChars="200"/>
        <w:rPr>
          <w:rFonts w:ascii="宋体" w:hAnsi="宋体"/>
          <w:color w:val="000000"/>
          <w:sz w:val="24"/>
        </w:rPr>
      </w:pPr>
      <w:r>
        <w:rPr>
          <w:rFonts w:hint="eastAsia" w:ascii="宋体" w:hAnsi="宋体"/>
          <w:color w:val="000000"/>
          <w:sz w:val="24"/>
        </w:rPr>
        <w:t>（5）按照学校管理规范，建立各类管理台账。</w:t>
      </w:r>
    </w:p>
    <w:p w14:paraId="2B911B3F">
      <w:pPr>
        <w:autoSpaceDE w:val="0"/>
        <w:autoSpaceDN w:val="0"/>
        <w:spacing w:line="360" w:lineRule="auto"/>
        <w:ind w:firstLine="480" w:firstLineChars="200"/>
        <w:rPr>
          <w:rFonts w:hint="eastAsia" w:ascii="宋体" w:hAnsi="宋体"/>
          <w:color w:val="000000"/>
          <w:sz w:val="24"/>
        </w:rPr>
      </w:pPr>
      <w:r>
        <w:rPr>
          <w:rFonts w:hint="eastAsia" w:ascii="宋体" w:hAnsi="宋体"/>
          <w:color w:val="000000"/>
          <w:sz w:val="24"/>
        </w:rPr>
        <w:t>（6）资产管理：对辖区范围内的资产进行不定期清查，做好管理和维护，保障各项资产的完好、安全和正常运转，不得私自占用或租借楼宇房间，也不得将楼内的设备设施随意搬出、挪作他用或外借，因正常损耗不能使用的资产不能随意处置，报送主管部门统一处理。按校方要求做好资产调整和零星搬运。</w:t>
      </w:r>
    </w:p>
    <w:p w14:paraId="3FD63BA1">
      <w:pPr>
        <w:autoSpaceDE w:val="0"/>
        <w:autoSpaceDN w:val="0"/>
        <w:spacing w:line="360" w:lineRule="auto"/>
        <w:ind w:firstLine="480" w:firstLineChars="200"/>
        <w:rPr>
          <w:rFonts w:ascii="宋体"/>
          <w:color w:val="000000"/>
          <w:sz w:val="24"/>
        </w:rPr>
      </w:pPr>
      <w:r>
        <w:rPr>
          <w:rFonts w:hint="eastAsia" w:ascii="宋体" w:hAnsi="宋体"/>
          <w:color w:val="000000"/>
          <w:sz w:val="24"/>
        </w:rPr>
        <w:t>（7）安全管理：具有应急处理消防事件的能力和水平，工作人员熟练掌握各类应急预案的处理技能。</w:t>
      </w:r>
    </w:p>
    <w:p w14:paraId="5726FD1A">
      <w:pPr>
        <w:autoSpaceDE w:val="0"/>
        <w:autoSpaceDN w:val="0"/>
        <w:spacing w:line="360" w:lineRule="auto"/>
        <w:ind w:firstLine="480" w:firstLineChars="200"/>
        <w:rPr>
          <w:rFonts w:ascii="宋体" w:hAnsi="宋体"/>
          <w:color w:val="000000"/>
          <w:sz w:val="24"/>
        </w:rPr>
      </w:pPr>
      <w:r>
        <w:rPr>
          <w:rFonts w:hint="eastAsia" w:ascii="宋体" w:hAnsi="宋体"/>
          <w:b/>
          <w:bCs/>
          <w:color w:val="000000"/>
          <w:sz w:val="24"/>
        </w:rPr>
        <w:t>四、设备配备要求</w:t>
      </w:r>
    </w:p>
    <w:p w14:paraId="4D90857A">
      <w:pPr>
        <w:autoSpaceDE w:val="0"/>
        <w:autoSpaceDN w:val="0"/>
        <w:spacing w:line="360" w:lineRule="auto"/>
        <w:ind w:firstLine="480" w:firstLineChars="200"/>
        <w:rPr>
          <w:rFonts w:hint="eastAsia" w:ascii="宋体" w:hAnsi="宋体"/>
          <w:color w:val="000000"/>
          <w:sz w:val="24"/>
        </w:rPr>
      </w:pPr>
      <w:r>
        <w:rPr>
          <w:rFonts w:hint="eastAsia" w:ascii="宋体" w:hAnsi="宋体"/>
          <w:color w:val="000000"/>
          <w:sz w:val="24"/>
        </w:rPr>
        <w:t>1.室外不锈钢垃圾桶配备不少于20只，具备灭烟盒、有害物收集功能，规格100*33*100cm，采用一级料镀锌板材质制作，上盖1.2MM，底座模压成型，桶身1.0MM，涂层厚度90um，垃圾桶配2个不锈钢内胆，配垃圾桶专用锁。户外分类垃圾桶（阻燃材料）不少于8组（每组4只，计32只），质量指标：产品符合CJ/T280-2008标准，容积240L/桶，并需保证服务期内垃圾桶完好能够正常使用。垃圾桶为一次性投入，均为新品，确保合同期内正常使用，该项费用包含在投标报价中，式样功能如参考图片。</w:t>
      </w:r>
    </w:p>
    <w:p w14:paraId="0C4A6904">
      <w:pPr>
        <w:autoSpaceDE w:val="0"/>
        <w:autoSpaceDN w:val="0"/>
        <w:spacing w:line="360" w:lineRule="auto"/>
        <w:ind w:firstLine="480" w:firstLineChars="200"/>
        <w:rPr>
          <w:rFonts w:hint="eastAsia" w:ascii="宋体" w:hAnsi="宋体"/>
          <w:color w:val="000000"/>
          <w:sz w:val="24"/>
        </w:rPr>
      </w:pPr>
      <w:r>
        <w:rPr>
          <w:rFonts w:hint="eastAsia" w:ascii="宋体" w:hAnsi="宋体"/>
          <w:color w:val="000000"/>
          <w:sz w:val="24"/>
        </w:rPr>
        <w:t>2.另外每个教室还需提供垃圾篓1个（每天更换套袋）。</w:t>
      </w:r>
    </w:p>
    <w:p w14:paraId="279CA2DC">
      <w:pPr>
        <w:spacing w:line="360" w:lineRule="auto"/>
        <w:ind w:firstLine="471" w:firstLineChars="196"/>
        <w:rPr>
          <w:rFonts w:hint="eastAsia" w:ascii="宋体" w:hAnsi="宋体"/>
          <w:b/>
          <w:color w:val="000000"/>
          <w:sz w:val="24"/>
        </w:rPr>
      </w:pPr>
      <w:r>
        <w:rPr>
          <w:rFonts w:hint="eastAsia" w:ascii="宋体" w:hAnsi="宋体"/>
          <w:b/>
          <w:color w:val="000000"/>
          <w:sz w:val="24"/>
        </w:rPr>
        <w:t>五、人员配备要求</w:t>
      </w:r>
    </w:p>
    <w:p w14:paraId="3B71F222">
      <w:pPr>
        <w:spacing w:line="360" w:lineRule="auto"/>
        <w:ind w:firstLine="471" w:firstLineChars="196"/>
        <w:rPr>
          <w:rFonts w:hint="eastAsia" w:ascii="宋体" w:hAnsi="宋体"/>
          <w:b/>
          <w:color w:val="000000"/>
          <w:sz w:val="24"/>
        </w:rPr>
      </w:pPr>
      <w:r>
        <w:rPr>
          <w:rFonts w:hint="eastAsia" w:ascii="宋体" w:hAnsi="宋体"/>
          <w:b/>
          <w:bCs/>
          <w:kern w:val="0"/>
          <w:sz w:val="24"/>
          <w:szCs w:val="21"/>
        </w:rPr>
        <w:t>3.1人员基本配置要求</w:t>
      </w:r>
    </w:p>
    <w:p w14:paraId="09C85F84">
      <w:pPr>
        <w:autoSpaceDE w:val="0"/>
        <w:autoSpaceDN w:val="0"/>
        <w:spacing w:line="360" w:lineRule="auto"/>
        <w:ind w:firstLine="480" w:firstLineChars="200"/>
        <w:rPr>
          <w:rFonts w:hint="eastAsia" w:ascii="宋体" w:hAnsi="宋体"/>
          <w:color w:val="000000"/>
          <w:sz w:val="24"/>
        </w:rPr>
      </w:pPr>
      <w:r>
        <w:rPr>
          <w:rFonts w:hint="eastAsia" w:ascii="宋体" w:hAnsi="宋体"/>
          <w:color w:val="000000"/>
          <w:sz w:val="24"/>
        </w:rPr>
        <w:t>本项目须配备最低人数共计26人。各岗位最低配置如下：项目经理1人，文员1人，保洁人员11人，维修工3人，园林绿化专业技术人员1人，绿化养护工及水面治理3人，值班员3人，高压电工3人。</w:t>
      </w:r>
    </w:p>
    <w:p w14:paraId="78B5EA8F">
      <w:pPr>
        <w:autoSpaceDE w:val="0"/>
        <w:autoSpaceDN w:val="0"/>
        <w:spacing w:line="360" w:lineRule="auto"/>
        <w:ind w:firstLine="480" w:firstLineChars="200"/>
        <w:rPr>
          <w:rFonts w:hint="eastAsia" w:ascii="宋体" w:hAnsi="宋体"/>
          <w:color w:val="000000"/>
          <w:sz w:val="24"/>
        </w:rPr>
      </w:pPr>
      <w:r>
        <w:rPr>
          <w:rFonts w:hint="eastAsia" w:ascii="宋体" w:hAnsi="宋体"/>
          <w:color w:val="000000"/>
          <w:sz w:val="24"/>
        </w:rPr>
        <w:t>学校有寒暑期共约2个月，各岗位最低配置如下：项目经理1人、文员1人、保洁员5人、维修工2人，高压电工3人，值班员2人，园林绿化专业技术人员1人，绿化养护工及水面治理3人，共计17人在岗。放假前所有用工名单须提前报采购人备案。</w:t>
      </w:r>
    </w:p>
    <w:p w14:paraId="6881E7A8">
      <w:pPr>
        <w:pStyle w:val="15"/>
        <w:adjustRightInd/>
        <w:spacing w:line="360" w:lineRule="auto"/>
        <w:ind w:firstLine="472" w:firstLineChars="196"/>
        <w:jc w:val="both"/>
        <w:rPr>
          <w:rFonts w:hint="eastAsia" w:ascii="宋体" w:hAnsi="宋体" w:cs="宋体"/>
          <w:b/>
          <w:color w:val="auto"/>
          <w:sz w:val="24"/>
        </w:rPr>
      </w:pPr>
      <w:r>
        <w:rPr>
          <w:rFonts w:hint="eastAsia" w:ascii="宋体" w:hAnsi="宋体" w:cs="宋体"/>
          <w:b/>
          <w:color w:val="auto"/>
          <w:sz w:val="24"/>
        </w:rPr>
        <w:t>3.2人员任职要求：</w:t>
      </w:r>
    </w:p>
    <w:p w14:paraId="40AF6496">
      <w:pPr>
        <w:pStyle w:val="15"/>
        <w:adjustRightInd/>
        <w:spacing w:line="360" w:lineRule="auto"/>
        <w:ind w:firstLine="470" w:firstLineChars="196"/>
        <w:jc w:val="both"/>
        <w:rPr>
          <w:rFonts w:hint="eastAsia" w:ascii="宋体" w:hAnsi="宋体" w:cs="宋体"/>
          <w:color w:val="auto"/>
          <w:sz w:val="24"/>
        </w:rPr>
      </w:pPr>
      <w:r>
        <w:rPr>
          <w:rFonts w:hint="eastAsia" w:ascii="宋体" w:hAnsi="宋体" w:cs="宋体"/>
          <w:color w:val="auto"/>
          <w:sz w:val="24"/>
        </w:rPr>
        <w:t>总体要求：</w:t>
      </w:r>
    </w:p>
    <w:p w14:paraId="2732000F">
      <w:pPr>
        <w:pStyle w:val="15"/>
        <w:adjustRightInd/>
        <w:spacing w:line="360" w:lineRule="auto"/>
        <w:ind w:firstLine="470" w:firstLineChars="196"/>
        <w:jc w:val="both"/>
        <w:rPr>
          <w:rFonts w:hint="eastAsia" w:ascii="宋体" w:hAnsi="宋体"/>
          <w:kern w:val="0"/>
          <w:sz w:val="24"/>
          <w:szCs w:val="21"/>
        </w:rPr>
      </w:pPr>
      <w:r>
        <w:rPr>
          <w:rFonts w:hint="eastAsia" w:ascii="宋体" w:hAnsi="宋体" w:cs="宋体"/>
          <w:color w:val="auto"/>
          <w:sz w:val="24"/>
        </w:rPr>
        <w:t>1.</w:t>
      </w:r>
      <w:r>
        <w:rPr>
          <w:rFonts w:hint="eastAsia" w:ascii="宋体" w:hAnsi="宋体"/>
          <w:kern w:val="0"/>
          <w:sz w:val="24"/>
          <w:szCs w:val="21"/>
        </w:rPr>
        <w:t>项目经理：</w:t>
      </w:r>
      <w:r>
        <w:rPr>
          <w:rFonts w:ascii="宋体" w:hAnsi="宋体"/>
          <w:kern w:val="0"/>
          <w:sz w:val="24"/>
          <w:szCs w:val="21"/>
        </w:rPr>
        <w:t>大专及以上学历，</w:t>
      </w:r>
      <w:r>
        <w:rPr>
          <w:rFonts w:hint="eastAsia" w:ascii="宋体" w:hAnsi="宋体"/>
          <w:kern w:val="0"/>
          <w:sz w:val="24"/>
          <w:szCs w:val="21"/>
        </w:rPr>
        <w:t>从事过物业管理服务工作，</w:t>
      </w:r>
      <w:r>
        <w:rPr>
          <w:rFonts w:ascii="宋体" w:hAnsi="宋体"/>
          <w:kern w:val="0"/>
          <w:sz w:val="24"/>
          <w:szCs w:val="21"/>
        </w:rPr>
        <w:t>年龄55周岁以下。</w:t>
      </w:r>
    </w:p>
    <w:p w14:paraId="4179A9F1">
      <w:pPr>
        <w:pStyle w:val="15"/>
        <w:adjustRightInd/>
        <w:spacing w:line="360" w:lineRule="auto"/>
        <w:ind w:firstLine="470" w:firstLineChars="196"/>
        <w:jc w:val="both"/>
        <w:rPr>
          <w:rFonts w:hint="eastAsia" w:ascii="宋体" w:hAnsi="宋体"/>
          <w:kern w:val="0"/>
          <w:sz w:val="24"/>
          <w:szCs w:val="21"/>
        </w:rPr>
      </w:pPr>
      <w:r>
        <w:rPr>
          <w:rFonts w:hint="eastAsia" w:ascii="宋体" w:hAnsi="宋体"/>
          <w:kern w:val="0"/>
          <w:sz w:val="24"/>
          <w:szCs w:val="21"/>
        </w:rPr>
        <w:t>2.文员：</w:t>
      </w:r>
      <w:r>
        <w:rPr>
          <w:rFonts w:ascii="宋体" w:hAnsi="宋体"/>
          <w:kern w:val="0"/>
          <w:sz w:val="24"/>
          <w:szCs w:val="21"/>
        </w:rPr>
        <w:t>大专及以上学历，年龄55周岁以下</w:t>
      </w:r>
      <w:r>
        <w:rPr>
          <w:rFonts w:hint="eastAsia" w:ascii="宋体" w:hAnsi="宋体"/>
          <w:kern w:val="0"/>
          <w:sz w:val="24"/>
          <w:szCs w:val="21"/>
        </w:rPr>
        <w:t>。</w:t>
      </w:r>
    </w:p>
    <w:p w14:paraId="15470AC6">
      <w:pPr>
        <w:pStyle w:val="15"/>
        <w:adjustRightInd/>
        <w:spacing w:line="360" w:lineRule="auto"/>
        <w:ind w:firstLine="470" w:firstLineChars="196"/>
        <w:jc w:val="both"/>
        <w:rPr>
          <w:rFonts w:hint="eastAsia" w:ascii="宋体" w:hAnsi="宋体"/>
          <w:kern w:val="0"/>
          <w:sz w:val="24"/>
          <w:szCs w:val="21"/>
        </w:rPr>
      </w:pPr>
      <w:r>
        <w:rPr>
          <w:rFonts w:hint="eastAsia" w:ascii="宋体" w:hAnsi="宋体" w:cs="宋体"/>
          <w:color w:val="auto"/>
          <w:sz w:val="24"/>
        </w:rPr>
        <w:t>3.</w:t>
      </w:r>
      <w:r>
        <w:rPr>
          <w:rFonts w:hint="eastAsia" w:ascii="宋体" w:hAnsi="宋体"/>
          <w:kern w:val="0"/>
          <w:sz w:val="24"/>
          <w:szCs w:val="21"/>
        </w:rPr>
        <w:t>维修工：男性，至少</w:t>
      </w:r>
      <w:r>
        <w:rPr>
          <w:rFonts w:ascii="宋体" w:hAnsi="宋体"/>
          <w:sz w:val="24"/>
        </w:rPr>
        <w:t>2人具有</w:t>
      </w:r>
      <w:r>
        <w:rPr>
          <w:rFonts w:hint="eastAsia" w:ascii="宋体" w:hAnsi="宋体"/>
          <w:sz w:val="24"/>
        </w:rPr>
        <w:t>低压</w:t>
      </w:r>
      <w:r>
        <w:rPr>
          <w:rFonts w:ascii="宋体" w:hAnsi="宋体"/>
          <w:sz w:val="24"/>
        </w:rPr>
        <w:t>电工证，</w:t>
      </w:r>
      <w:r>
        <w:rPr>
          <w:rFonts w:ascii="宋体" w:hAnsi="宋体"/>
          <w:kern w:val="0"/>
          <w:sz w:val="24"/>
          <w:szCs w:val="21"/>
        </w:rPr>
        <w:t>年龄不超过60周岁</w:t>
      </w:r>
      <w:r>
        <w:rPr>
          <w:rFonts w:hint="eastAsia" w:ascii="宋体" w:hAnsi="宋体"/>
          <w:kern w:val="0"/>
          <w:sz w:val="24"/>
          <w:szCs w:val="21"/>
        </w:rPr>
        <w:t>。</w:t>
      </w:r>
    </w:p>
    <w:p w14:paraId="38217A4A">
      <w:pPr>
        <w:pStyle w:val="15"/>
        <w:adjustRightInd/>
        <w:spacing w:line="360" w:lineRule="auto"/>
        <w:ind w:firstLine="470" w:firstLineChars="196"/>
        <w:jc w:val="both"/>
        <w:rPr>
          <w:rFonts w:hint="eastAsia" w:ascii="宋体" w:hAnsi="宋体"/>
          <w:kern w:val="0"/>
          <w:sz w:val="24"/>
          <w:szCs w:val="21"/>
        </w:rPr>
      </w:pPr>
      <w:r>
        <w:rPr>
          <w:rFonts w:hint="eastAsia" w:ascii="宋体" w:hAnsi="宋体"/>
          <w:kern w:val="0"/>
          <w:sz w:val="24"/>
          <w:szCs w:val="21"/>
        </w:rPr>
        <w:t>4.园林绿化专业技术人员：</w:t>
      </w:r>
      <w:r>
        <w:rPr>
          <w:rFonts w:hint="eastAsia" w:ascii="宋体" w:hAnsi="宋体"/>
          <w:sz w:val="24"/>
        </w:rPr>
        <w:t>具有绿化工作经验，</w:t>
      </w:r>
      <w:r>
        <w:rPr>
          <w:rFonts w:ascii="宋体" w:hAnsi="宋体"/>
          <w:kern w:val="0"/>
          <w:sz w:val="24"/>
          <w:szCs w:val="21"/>
        </w:rPr>
        <w:t>具备</w:t>
      </w:r>
      <w:r>
        <w:rPr>
          <w:rFonts w:hint="eastAsia" w:ascii="宋体" w:hAnsi="宋体"/>
          <w:kern w:val="0"/>
          <w:sz w:val="24"/>
          <w:szCs w:val="21"/>
        </w:rPr>
        <w:t>初</w:t>
      </w:r>
      <w:r>
        <w:rPr>
          <w:rFonts w:ascii="宋体" w:hAnsi="宋体"/>
          <w:kern w:val="0"/>
          <w:sz w:val="24"/>
          <w:szCs w:val="21"/>
        </w:rPr>
        <w:t>级及以上职称，年龄不超过55周岁。</w:t>
      </w:r>
    </w:p>
    <w:p w14:paraId="403CC6EC">
      <w:pPr>
        <w:pStyle w:val="15"/>
        <w:adjustRightInd/>
        <w:spacing w:line="360" w:lineRule="auto"/>
        <w:ind w:firstLine="470" w:firstLineChars="196"/>
        <w:jc w:val="both"/>
        <w:rPr>
          <w:rFonts w:hint="eastAsia" w:ascii="宋体" w:hAnsi="宋体"/>
          <w:kern w:val="0"/>
          <w:sz w:val="24"/>
          <w:szCs w:val="21"/>
        </w:rPr>
      </w:pPr>
      <w:r>
        <w:rPr>
          <w:rFonts w:hint="eastAsia" w:ascii="宋体" w:hAnsi="宋体"/>
          <w:kern w:val="0"/>
          <w:sz w:val="24"/>
          <w:szCs w:val="21"/>
        </w:rPr>
        <w:t>5.绿化养护技工及水面治理：</w:t>
      </w:r>
      <w:r>
        <w:rPr>
          <w:rFonts w:ascii="宋体" w:hAnsi="宋体"/>
          <w:kern w:val="0"/>
          <w:sz w:val="24"/>
          <w:szCs w:val="21"/>
        </w:rPr>
        <w:t>年龄男性不超过60周岁，女性不超过55周岁</w:t>
      </w:r>
      <w:r>
        <w:rPr>
          <w:rFonts w:hint="eastAsia" w:ascii="宋体" w:hAnsi="宋体"/>
          <w:kern w:val="0"/>
          <w:sz w:val="24"/>
          <w:szCs w:val="21"/>
        </w:rPr>
        <w:t>。</w:t>
      </w:r>
    </w:p>
    <w:p w14:paraId="24F19F88">
      <w:pPr>
        <w:pStyle w:val="15"/>
        <w:adjustRightInd/>
        <w:spacing w:line="360" w:lineRule="auto"/>
        <w:ind w:firstLine="470" w:firstLineChars="196"/>
        <w:jc w:val="both"/>
        <w:rPr>
          <w:rFonts w:hint="eastAsia" w:ascii="宋体" w:hAnsi="宋体"/>
          <w:kern w:val="0"/>
          <w:sz w:val="24"/>
          <w:szCs w:val="21"/>
        </w:rPr>
      </w:pPr>
      <w:r>
        <w:rPr>
          <w:rFonts w:hint="eastAsia" w:ascii="宋体" w:hAnsi="宋体"/>
          <w:kern w:val="0"/>
          <w:sz w:val="24"/>
          <w:szCs w:val="21"/>
        </w:rPr>
        <w:t>6.保洁人员：规定时间完成相应保洁、消杀项目，年龄男性不超过60周岁，女性不超过55周岁。</w:t>
      </w:r>
    </w:p>
    <w:p w14:paraId="7C085B46">
      <w:pPr>
        <w:pStyle w:val="15"/>
        <w:adjustRightInd/>
        <w:spacing w:line="360" w:lineRule="auto"/>
        <w:ind w:firstLine="470" w:firstLineChars="196"/>
        <w:jc w:val="both"/>
        <w:rPr>
          <w:rFonts w:hint="eastAsia" w:ascii="宋体" w:hAnsi="宋体"/>
          <w:kern w:val="0"/>
          <w:sz w:val="24"/>
          <w:szCs w:val="21"/>
        </w:rPr>
      </w:pPr>
      <w:r>
        <w:rPr>
          <w:rFonts w:hint="eastAsia" w:ascii="宋体" w:hAnsi="宋体"/>
          <w:kern w:val="0"/>
          <w:sz w:val="24"/>
          <w:szCs w:val="21"/>
        </w:rPr>
        <w:t>7.值班员：</w:t>
      </w:r>
      <w:r>
        <w:rPr>
          <w:rFonts w:ascii="宋体" w:hAnsi="宋体"/>
          <w:kern w:val="0"/>
          <w:sz w:val="24"/>
          <w:szCs w:val="21"/>
        </w:rPr>
        <w:t>24小时人员在岗在位，遵守岗位纪律，年龄男性不超过60周岁，女性不超过55周岁</w:t>
      </w:r>
      <w:r>
        <w:rPr>
          <w:rFonts w:hint="eastAsia" w:ascii="宋体" w:hAnsi="宋体"/>
          <w:kern w:val="0"/>
          <w:sz w:val="24"/>
          <w:szCs w:val="21"/>
        </w:rPr>
        <w:t>。</w:t>
      </w:r>
    </w:p>
    <w:p w14:paraId="7F3C50C7">
      <w:pPr>
        <w:widowControl/>
        <w:spacing w:line="360" w:lineRule="auto"/>
        <w:ind w:firstLine="480"/>
        <w:rPr>
          <w:rFonts w:hint="eastAsia" w:ascii="宋体" w:hAnsi="宋体"/>
          <w:kern w:val="0"/>
          <w:sz w:val="24"/>
        </w:rPr>
      </w:pPr>
      <w:r>
        <w:rPr>
          <w:rFonts w:hint="eastAsia" w:ascii="宋体" w:hAnsi="宋体"/>
          <w:kern w:val="0"/>
          <w:sz w:val="24"/>
        </w:rPr>
        <w:t>8.高压电工：男性，持有效期内高压电工证，</w:t>
      </w:r>
      <w:r>
        <w:rPr>
          <w:rFonts w:ascii="宋体" w:hAnsi="宋体"/>
          <w:color w:val="000000"/>
          <w:kern w:val="0"/>
          <w:sz w:val="24"/>
        </w:rPr>
        <w:t>24小时人员在岗在位，必须有高压电工证</w:t>
      </w:r>
      <w:r>
        <w:rPr>
          <w:rFonts w:hint="eastAsia" w:ascii="宋体" w:hAnsi="宋体"/>
          <w:color w:val="000000"/>
          <w:kern w:val="0"/>
          <w:sz w:val="24"/>
        </w:rPr>
        <w:t>特种作业操作证</w:t>
      </w:r>
      <w:r>
        <w:rPr>
          <w:rFonts w:ascii="宋体" w:hAnsi="宋体"/>
          <w:color w:val="000000"/>
          <w:kern w:val="0"/>
          <w:sz w:val="24"/>
        </w:rPr>
        <w:t>，</w:t>
      </w:r>
      <w:r>
        <w:rPr>
          <w:rFonts w:ascii="宋体" w:hAnsi="宋体"/>
          <w:kern w:val="0"/>
          <w:sz w:val="24"/>
        </w:rPr>
        <w:t>年龄</w:t>
      </w:r>
      <w:r>
        <w:rPr>
          <w:rFonts w:ascii="宋体" w:hAnsi="宋体"/>
          <w:color w:val="000000"/>
          <w:kern w:val="0"/>
          <w:sz w:val="24"/>
        </w:rPr>
        <w:t>不超过60周岁</w:t>
      </w:r>
      <w:r>
        <w:rPr>
          <w:rFonts w:ascii="宋体" w:hAnsi="宋体"/>
          <w:kern w:val="0"/>
          <w:sz w:val="24"/>
        </w:rPr>
        <w:t>。</w:t>
      </w:r>
      <w:r>
        <w:rPr>
          <w:rFonts w:hint="eastAsia" w:ascii="宋体" w:hAnsi="宋体"/>
          <w:kern w:val="0"/>
          <w:sz w:val="24"/>
        </w:rPr>
        <w:t>两名高压配电工交由校区统一安排与现有高压电工24小时共同排班，两名高压配电工考核及工资等福利待遇发放由中标人负责。</w:t>
      </w:r>
    </w:p>
    <w:p w14:paraId="0A34BB0A">
      <w:pPr>
        <w:pStyle w:val="15"/>
        <w:adjustRightInd/>
        <w:spacing w:line="360" w:lineRule="auto"/>
        <w:ind w:firstLine="470" w:firstLineChars="196"/>
        <w:jc w:val="both"/>
        <w:rPr>
          <w:rFonts w:hint="eastAsia" w:ascii="宋体" w:hAnsi="宋体"/>
          <w:color w:val="auto"/>
          <w:kern w:val="0"/>
          <w:sz w:val="24"/>
        </w:rPr>
      </w:pPr>
      <w:r>
        <w:rPr>
          <w:rFonts w:hint="eastAsia" w:ascii="宋体" w:hAnsi="宋体"/>
          <w:color w:val="auto"/>
          <w:kern w:val="0"/>
          <w:sz w:val="24"/>
        </w:rPr>
        <w:t>9.除项目经理及</w:t>
      </w:r>
      <w:r>
        <w:rPr>
          <w:rFonts w:hint="eastAsia" w:ascii="宋体" w:hAnsi="宋体"/>
          <w:kern w:val="0"/>
          <w:sz w:val="24"/>
          <w:szCs w:val="21"/>
        </w:rPr>
        <w:t>文员外，</w:t>
      </w:r>
      <w:r>
        <w:rPr>
          <w:rFonts w:hint="eastAsia" w:ascii="宋体" w:hAnsi="宋体"/>
          <w:color w:val="auto"/>
          <w:kern w:val="0"/>
          <w:sz w:val="24"/>
        </w:rPr>
        <w:t>其余人员应具有高中及以上学历，身体健康，工作认真负责，服务态度好，待人接物热情周到，讲普通话，所有工作人员上岗必须经过岗前培训。</w:t>
      </w:r>
      <w:r>
        <w:rPr>
          <w:rFonts w:hint="eastAsia" w:ascii="宋体" w:hAnsi="宋体"/>
          <w:kern w:val="0"/>
          <w:sz w:val="24"/>
        </w:rPr>
        <w:t>电工等特殊工种人员需持有行业主管部门颁发的上岗证，园林绿化专业技术人员应具备初级及以上职称，绿化养护技工应持证上岗。</w:t>
      </w:r>
    </w:p>
    <w:p w14:paraId="7B69E998">
      <w:pPr>
        <w:numPr>
          <w:numId w:val="0"/>
        </w:numPr>
        <w:spacing w:line="360" w:lineRule="auto"/>
        <w:ind w:firstLine="480" w:firstLineChars="200"/>
        <w:rPr>
          <w:rFonts w:hint="eastAsia" w:ascii="宋体" w:hAnsi="宋体"/>
          <w:b/>
          <w:color w:val="000000"/>
          <w:sz w:val="24"/>
        </w:rPr>
      </w:pPr>
      <w:r>
        <w:rPr>
          <w:rFonts w:hint="eastAsia" w:ascii="宋体" w:hAnsi="宋体"/>
          <w:b/>
          <w:color w:val="000000"/>
          <w:sz w:val="24"/>
        </w:rPr>
        <w:t>六、服务期限：三年（合同约定时间起算）。</w:t>
      </w:r>
    </w:p>
    <w:p w14:paraId="39D95B81">
      <w:pPr>
        <w:numPr>
          <w:ilvl w:val="0"/>
          <w:numId w:val="1"/>
        </w:numPr>
        <w:spacing w:line="360" w:lineRule="auto"/>
        <w:ind w:firstLine="480" w:firstLineChars="200"/>
        <w:rPr>
          <w:rFonts w:hint="eastAsia" w:ascii="宋体" w:hAnsi="宋体"/>
          <w:b/>
          <w:color w:val="000000"/>
          <w:sz w:val="24"/>
        </w:rPr>
      </w:pPr>
      <w:r>
        <w:rPr>
          <w:rFonts w:hint="eastAsia" w:ascii="宋体" w:hAnsi="宋体"/>
          <w:b/>
          <w:color w:val="000000"/>
          <w:sz w:val="24"/>
        </w:rPr>
        <w:t>考核标准及考核办法</w:t>
      </w:r>
    </w:p>
    <w:p w14:paraId="322C3182">
      <w:pPr>
        <w:widowControl/>
        <w:spacing w:line="360" w:lineRule="auto"/>
        <w:ind w:firstLine="482"/>
        <w:rPr>
          <w:b/>
          <w:sz w:val="24"/>
        </w:rPr>
      </w:pPr>
      <w:r>
        <w:rPr>
          <w:rFonts w:hint="eastAsia"/>
        </w:rPr>
        <w:t xml:space="preserve">  </w:t>
      </w:r>
      <w:r>
        <w:rPr>
          <w:b/>
          <w:sz w:val="24"/>
        </w:rPr>
        <w:t>1.考核标准</w:t>
      </w:r>
    </w:p>
    <w:p w14:paraId="6E045756">
      <w:pPr>
        <w:widowControl/>
        <w:spacing w:line="360" w:lineRule="auto"/>
        <w:ind w:firstLine="482"/>
        <w:rPr>
          <w:b/>
          <w:sz w:val="24"/>
        </w:rPr>
      </w:pPr>
      <w:r>
        <w:rPr>
          <w:b/>
          <w:sz w:val="24"/>
        </w:rPr>
        <w:t>1.1月度考核评分细则</w:t>
      </w:r>
    </w:p>
    <w:p w14:paraId="652A6127">
      <w:pPr>
        <w:pStyle w:val="15"/>
        <w:jc w:val="center"/>
        <w:rPr>
          <w:rFonts w:ascii="Times New Roman" w:hAnsi="Times New Roman"/>
          <w:b/>
          <w:sz w:val="24"/>
        </w:rPr>
      </w:pPr>
      <w:r>
        <w:rPr>
          <w:rFonts w:ascii="Times New Roman" w:hAnsi="Times New Roman"/>
          <w:b/>
          <w:sz w:val="24"/>
        </w:rPr>
        <w:t>江苏海洋大学物业服务月度考核评分细则</w:t>
      </w:r>
    </w:p>
    <w:tbl>
      <w:tblPr>
        <w:tblStyle w:val="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02"/>
        <w:gridCol w:w="4280"/>
        <w:gridCol w:w="1151"/>
        <w:gridCol w:w="963"/>
        <w:gridCol w:w="715"/>
      </w:tblGrid>
      <w:tr w14:paraId="0D63D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1102" w:type="dxa"/>
            <w:tcBorders>
              <w:top w:val="single" w:color="000000" w:sz="4" w:space="0"/>
              <w:left w:val="single" w:color="000000" w:sz="4" w:space="0"/>
              <w:bottom w:val="single" w:color="000000" w:sz="4" w:space="0"/>
              <w:right w:val="single" w:color="000000" w:sz="4" w:space="0"/>
            </w:tcBorders>
            <w:noWrap w:val="0"/>
            <w:vAlign w:val="center"/>
          </w:tcPr>
          <w:p w14:paraId="566033BD">
            <w:pPr>
              <w:pStyle w:val="15"/>
              <w:rPr>
                <w:rFonts w:ascii="宋体" w:hAnsi="宋体"/>
                <w:bCs/>
                <w:szCs w:val="21"/>
              </w:rPr>
            </w:pPr>
            <w:r>
              <w:rPr>
                <w:rFonts w:ascii="宋体" w:hAnsi="宋体"/>
                <w:bCs/>
                <w:szCs w:val="21"/>
              </w:rPr>
              <w:t>考核内容</w:t>
            </w:r>
          </w:p>
        </w:tc>
        <w:tc>
          <w:tcPr>
            <w:tcW w:w="4280" w:type="dxa"/>
            <w:tcBorders>
              <w:top w:val="single" w:color="000000" w:sz="4" w:space="0"/>
              <w:left w:val="single" w:color="000000" w:sz="4" w:space="0"/>
              <w:bottom w:val="single" w:color="000000" w:sz="4" w:space="0"/>
              <w:right w:val="single" w:color="000000" w:sz="4" w:space="0"/>
            </w:tcBorders>
            <w:noWrap w:val="0"/>
            <w:vAlign w:val="center"/>
          </w:tcPr>
          <w:p w14:paraId="2BD224AA">
            <w:pPr>
              <w:pStyle w:val="15"/>
              <w:rPr>
                <w:rFonts w:ascii="宋体" w:hAnsi="宋体"/>
                <w:bCs/>
                <w:szCs w:val="21"/>
              </w:rPr>
            </w:pPr>
            <w:r>
              <w:rPr>
                <w:rFonts w:ascii="宋体" w:hAnsi="宋体"/>
                <w:bCs/>
                <w:szCs w:val="21"/>
              </w:rPr>
              <w:t>检查标准</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07E9095E">
            <w:pPr>
              <w:pStyle w:val="15"/>
              <w:rPr>
                <w:rFonts w:ascii="宋体" w:hAnsi="宋体"/>
                <w:bCs/>
                <w:szCs w:val="21"/>
              </w:rPr>
            </w:pPr>
            <w:r>
              <w:rPr>
                <w:rFonts w:ascii="宋体" w:hAnsi="宋体"/>
                <w:bCs/>
                <w:szCs w:val="21"/>
              </w:rPr>
              <w:t>评分标准</w:t>
            </w: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2F7E46CE">
            <w:pPr>
              <w:pStyle w:val="15"/>
              <w:rPr>
                <w:rFonts w:ascii="宋体" w:hAnsi="宋体"/>
                <w:bCs/>
                <w:szCs w:val="21"/>
              </w:rPr>
            </w:pPr>
            <w:r>
              <w:rPr>
                <w:rFonts w:ascii="宋体" w:hAnsi="宋体"/>
                <w:bCs/>
                <w:szCs w:val="21"/>
              </w:rPr>
              <w:t>标准分</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543B347A">
            <w:pPr>
              <w:pStyle w:val="15"/>
              <w:rPr>
                <w:rFonts w:ascii="宋体" w:hAnsi="宋体"/>
                <w:bCs/>
                <w:szCs w:val="21"/>
              </w:rPr>
            </w:pPr>
            <w:r>
              <w:rPr>
                <w:rFonts w:ascii="宋体" w:hAnsi="宋体"/>
                <w:bCs/>
                <w:szCs w:val="21"/>
              </w:rPr>
              <w:t>得分</w:t>
            </w:r>
          </w:p>
        </w:tc>
      </w:tr>
      <w:tr w14:paraId="04868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restart"/>
            <w:tcBorders>
              <w:top w:val="nil"/>
              <w:left w:val="single" w:color="000000" w:sz="4" w:space="0"/>
              <w:bottom w:val="single" w:color="000000" w:sz="4" w:space="0"/>
              <w:right w:val="single" w:color="000000" w:sz="4" w:space="0"/>
            </w:tcBorders>
            <w:noWrap w:val="0"/>
            <w:vAlign w:val="center"/>
          </w:tcPr>
          <w:p w14:paraId="65CFA34A">
            <w:pPr>
              <w:pStyle w:val="15"/>
              <w:rPr>
                <w:rFonts w:ascii="宋体" w:hAnsi="宋体"/>
                <w:szCs w:val="21"/>
              </w:rPr>
            </w:pPr>
            <w:r>
              <w:rPr>
                <w:rFonts w:ascii="宋体" w:hAnsi="宋体"/>
                <w:bCs/>
                <w:szCs w:val="21"/>
              </w:rPr>
              <w:t>基础管理</w:t>
            </w:r>
            <w:r>
              <w:rPr>
                <w:rFonts w:ascii="宋体" w:hAnsi="宋体"/>
                <w:szCs w:val="21"/>
              </w:rPr>
              <w:t>（20分）</w:t>
            </w: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068DE5A5">
            <w:pPr>
              <w:pStyle w:val="15"/>
              <w:rPr>
                <w:rFonts w:ascii="宋体" w:hAnsi="宋体"/>
                <w:szCs w:val="21"/>
              </w:rPr>
            </w:pPr>
            <w:r>
              <w:rPr>
                <w:rFonts w:ascii="宋体" w:hAnsi="宋体"/>
                <w:szCs w:val="21"/>
              </w:rPr>
              <w:t>1、制定有详细的物业管理实施方案、应对各类突发事件的应急预案。</w:t>
            </w:r>
          </w:p>
        </w:tc>
        <w:tc>
          <w:tcPr>
            <w:tcW w:w="1151" w:type="dxa"/>
            <w:vMerge w:val="restart"/>
            <w:tcBorders>
              <w:top w:val="single" w:color="000000" w:sz="4" w:space="0"/>
              <w:left w:val="single" w:color="000000" w:sz="4" w:space="0"/>
              <w:right w:val="single" w:color="000000" w:sz="4" w:space="0"/>
            </w:tcBorders>
            <w:noWrap w:val="0"/>
            <w:vAlign w:val="center"/>
          </w:tcPr>
          <w:p w14:paraId="451D470E">
            <w:pPr>
              <w:pStyle w:val="15"/>
              <w:rPr>
                <w:rFonts w:ascii="宋体" w:hAnsi="宋体"/>
                <w:szCs w:val="21"/>
              </w:rPr>
            </w:pPr>
            <w:r>
              <w:rPr>
                <w:rFonts w:ascii="宋体" w:hAnsi="宋体"/>
                <w:szCs w:val="21"/>
              </w:rPr>
              <w:t>满分20分，不符合标准扣0.5分/项；不按要求整改扣1分/次，直至此项不得分</w:t>
            </w: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6984C8A7">
            <w:pPr>
              <w:pStyle w:val="15"/>
              <w:jc w:val="center"/>
              <w:rPr>
                <w:rFonts w:ascii="宋体" w:hAnsi="宋体"/>
                <w:szCs w:val="21"/>
              </w:rPr>
            </w:pPr>
            <w:r>
              <w:rPr>
                <w:rFonts w:ascii="宋体" w:hAnsi="宋体"/>
                <w:szCs w:val="21"/>
              </w:rPr>
              <w:t>4</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01D463EA">
            <w:pPr>
              <w:pStyle w:val="15"/>
              <w:rPr>
                <w:rFonts w:ascii="宋体" w:hAnsi="宋体"/>
                <w:szCs w:val="21"/>
              </w:rPr>
            </w:pPr>
          </w:p>
        </w:tc>
      </w:tr>
      <w:tr w14:paraId="15F64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16535891">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2DD6E966">
            <w:pPr>
              <w:pStyle w:val="15"/>
              <w:rPr>
                <w:rFonts w:ascii="宋体" w:hAnsi="宋体"/>
                <w:szCs w:val="21"/>
              </w:rPr>
            </w:pPr>
            <w:r>
              <w:rPr>
                <w:rFonts w:ascii="宋体" w:hAnsi="宋体"/>
                <w:szCs w:val="21"/>
              </w:rPr>
              <w:t>2、建立健全各项管理制度，各岗位工作标准，并制定具体的落实措施和考核办法。</w:t>
            </w:r>
          </w:p>
        </w:tc>
        <w:tc>
          <w:tcPr>
            <w:tcW w:w="1151" w:type="dxa"/>
            <w:vMerge w:val="continue"/>
            <w:tcBorders>
              <w:left w:val="single" w:color="000000" w:sz="4" w:space="0"/>
              <w:right w:val="single" w:color="000000" w:sz="4" w:space="0"/>
            </w:tcBorders>
            <w:noWrap w:val="0"/>
            <w:vAlign w:val="center"/>
          </w:tcPr>
          <w:p w14:paraId="21CB5C58">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3C07A4A1">
            <w:pPr>
              <w:pStyle w:val="15"/>
              <w:jc w:val="center"/>
              <w:rPr>
                <w:rFonts w:ascii="宋体" w:hAnsi="宋体"/>
                <w:szCs w:val="21"/>
              </w:rPr>
            </w:pPr>
            <w:r>
              <w:rPr>
                <w:rFonts w:ascii="宋体" w:hAnsi="宋体"/>
                <w:szCs w:val="21"/>
              </w:rPr>
              <w:t>4</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6BEB3790">
            <w:pPr>
              <w:pStyle w:val="15"/>
              <w:rPr>
                <w:rFonts w:ascii="宋体" w:hAnsi="宋体"/>
                <w:szCs w:val="21"/>
              </w:rPr>
            </w:pPr>
          </w:p>
        </w:tc>
      </w:tr>
      <w:tr w14:paraId="04B5A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5FF38735">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68308C23">
            <w:pPr>
              <w:pStyle w:val="15"/>
              <w:rPr>
                <w:rFonts w:ascii="宋体" w:hAnsi="宋体"/>
                <w:szCs w:val="21"/>
              </w:rPr>
            </w:pPr>
            <w:r>
              <w:rPr>
                <w:rFonts w:ascii="宋体" w:hAnsi="宋体"/>
                <w:szCs w:val="21"/>
              </w:rPr>
              <w:t xml:space="preserve">3、物业公司管理人员和专业技术人员持证上岗，员工统一服装，佩戴明显标志，工作规范，作风严谨。 </w:t>
            </w:r>
          </w:p>
        </w:tc>
        <w:tc>
          <w:tcPr>
            <w:tcW w:w="1151" w:type="dxa"/>
            <w:vMerge w:val="continue"/>
            <w:tcBorders>
              <w:left w:val="single" w:color="000000" w:sz="4" w:space="0"/>
              <w:right w:val="single" w:color="000000" w:sz="4" w:space="0"/>
            </w:tcBorders>
            <w:noWrap w:val="0"/>
            <w:vAlign w:val="center"/>
          </w:tcPr>
          <w:p w14:paraId="3A40E29F">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2EDEAD1E">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410B2D57">
            <w:pPr>
              <w:pStyle w:val="15"/>
              <w:rPr>
                <w:rFonts w:ascii="宋体" w:hAnsi="宋体"/>
                <w:szCs w:val="21"/>
              </w:rPr>
            </w:pPr>
          </w:p>
        </w:tc>
      </w:tr>
      <w:tr w14:paraId="417D8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166DCEE7">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72C5318D">
            <w:pPr>
              <w:pStyle w:val="15"/>
              <w:rPr>
                <w:rFonts w:ascii="宋体" w:hAnsi="宋体"/>
                <w:szCs w:val="21"/>
              </w:rPr>
            </w:pPr>
            <w:r>
              <w:rPr>
                <w:rFonts w:ascii="宋体" w:hAnsi="宋体"/>
                <w:szCs w:val="21"/>
              </w:rPr>
              <w:t xml:space="preserve">4、及时与学校的物业管理部门沟通，对安排的有关工作要及时跟踪、落实及反馈。 </w:t>
            </w:r>
          </w:p>
        </w:tc>
        <w:tc>
          <w:tcPr>
            <w:tcW w:w="1151" w:type="dxa"/>
            <w:vMerge w:val="continue"/>
            <w:tcBorders>
              <w:left w:val="single" w:color="000000" w:sz="4" w:space="0"/>
              <w:right w:val="single" w:color="000000" w:sz="4" w:space="0"/>
            </w:tcBorders>
            <w:noWrap w:val="0"/>
            <w:vAlign w:val="center"/>
          </w:tcPr>
          <w:p w14:paraId="1B03F9F1">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1FF0C0C8">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5CC82F3B">
            <w:pPr>
              <w:pStyle w:val="15"/>
              <w:rPr>
                <w:rFonts w:ascii="宋体" w:hAnsi="宋体"/>
                <w:szCs w:val="21"/>
              </w:rPr>
            </w:pPr>
          </w:p>
        </w:tc>
      </w:tr>
      <w:tr w14:paraId="450A8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673A1732">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0FADD620">
            <w:pPr>
              <w:pStyle w:val="15"/>
              <w:rPr>
                <w:rFonts w:ascii="宋体" w:hAnsi="宋体"/>
                <w:szCs w:val="21"/>
              </w:rPr>
            </w:pPr>
            <w:r>
              <w:rPr>
                <w:rFonts w:ascii="宋体" w:hAnsi="宋体"/>
                <w:szCs w:val="21"/>
              </w:rPr>
              <w:t>5、建立24小时值班制度，耐心、细致、礼貌地接受师生的报修、投诉、求助、建议、问询、质疑并及时处理各类诉求，做好记录， 建立回访制度。</w:t>
            </w:r>
          </w:p>
        </w:tc>
        <w:tc>
          <w:tcPr>
            <w:tcW w:w="1151" w:type="dxa"/>
            <w:vMerge w:val="continue"/>
            <w:tcBorders>
              <w:left w:val="single" w:color="000000" w:sz="4" w:space="0"/>
              <w:right w:val="single" w:color="000000" w:sz="4" w:space="0"/>
            </w:tcBorders>
            <w:noWrap w:val="0"/>
            <w:vAlign w:val="center"/>
          </w:tcPr>
          <w:p w14:paraId="23E2CB62">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0253547B">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5BB4DB4C">
            <w:pPr>
              <w:pStyle w:val="15"/>
              <w:rPr>
                <w:rFonts w:ascii="宋体" w:hAnsi="宋体"/>
                <w:szCs w:val="21"/>
              </w:rPr>
            </w:pPr>
          </w:p>
        </w:tc>
      </w:tr>
      <w:tr w14:paraId="4A1CE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33C3DDE6">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2D33EDDA">
            <w:pPr>
              <w:pStyle w:val="15"/>
              <w:rPr>
                <w:rFonts w:ascii="宋体" w:hAnsi="宋体"/>
                <w:szCs w:val="21"/>
              </w:rPr>
            </w:pPr>
            <w:r>
              <w:rPr>
                <w:rFonts w:ascii="宋体" w:hAnsi="宋体"/>
                <w:szCs w:val="21"/>
              </w:rPr>
              <w:t>6、每半年开展一次管理服务满意度调查、意见征询活动，调查部门覆盖率达80％以上，满意率达90％以上，对合理建议或意见及时整改。</w:t>
            </w:r>
          </w:p>
        </w:tc>
        <w:tc>
          <w:tcPr>
            <w:tcW w:w="1151" w:type="dxa"/>
            <w:vMerge w:val="continue"/>
            <w:tcBorders>
              <w:left w:val="single" w:color="000000" w:sz="4" w:space="0"/>
              <w:bottom w:val="single" w:color="000000" w:sz="4" w:space="0"/>
              <w:right w:val="single" w:color="000000" w:sz="4" w:space="0"/>
            </w:tcBorders>
            <w:noWrap w:val="0"/>
            <w:vAlign w:val="center"/>
          </w:tcPr>
          <w:p w14:paraId="0E2B3EA9">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494DB83D">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11156A2A">
            <w:pPr>
              <w:pStyle w:val="15"/>
              <w:rPr>
                <w:rFonts w:ascii="宋体" w:hAnsi="宋体"/>
                <w:szCs w:val="21"/>
              </w:rPr>
            </w:pPr>
          </w:p>
        </w:tc>
      </w:tr>
      <w:tr w14:paraId="6F313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restart"/>
            <w:tcBorders>
              <w:top w:val="nil"/>
              <w:left w:val="single" w:color="000000" w:sz="4" w:space="0"/>
              <w:bottom w:val="single" w:color="000000" w:sz="4" w:space="0"/>
              <w:right w:val="single" w:color="000000" w:sz="4" w:space="0"/>
            </w:tcBorders>
            <w:noWrap w:val="0"/>
            <w:vAlign w:val="center"/>
          </w:tcPr>
          <w:p w14:paraId="05BFC6E8">
            <w:pPr>
              <w:pStyle w:val="15"/>
              <w:rPr>
                <w:rFonts w:ascii="宋体" w:hAnsi="宋体"/>
                <w:szCs w:val="21"/>
              </w:rPr>
            </w:pPr>
            <w:r>
              <w:rPr>
                <w:rFonts w:ascii="宋体" w:hAnsi="宋体"/>
                <w:szCs w:val="21"/>
              </w:rPr>
              <w:t>楼宇管理（20分）</w:t>
            </w: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315486ED">
            <w:pPr>
              <w:pStyle w:val="15"/>
              <w:rPr>
                <w:rFonts w:ascii="宋体" w:hAnsi="宋体"/>
                <w:szCs w:val="21"/>
              </w:rPr>
            </w:pPr>
            <w:r>
              <w:rPr>
                <w:rFonts w:ascii="宋体" w:hAnsi="宋体"/>
                <w:szCs w:val="21"/>
              </w:rPr>
              <w:t>1、</w:t>
            </w:r>
            <w:r>
              <w:rPr>
                <w:rFonts w:ascii="宋体" w:hAnsi="宋体"/>
                <w:bCs/>
                <w:szCs w:val="21"/>
              </w:rPr>
              <w:t>熟悉本楼宇基本情况，楼宇辨识率达95%，熟练操作应急事情处理方法，能正确使用灭火器等安全工具。</w:t>
            </w:r>
          </w:p>
        </w:tc>
        <w:tc>
          <w:tcPr>
            <w:tcW w:w="1151" w:type="dxa"/>
            <w:vMerge w:val="restart"/>
            <w:tcBorders>
              <w:top w:val="single" w:color="000000" w:sz="4" w:space="0"/>
              <w:left w:val="single" w:color="000000" w:sz="4" w:space="0"/>
              <w:right w:val="single" w:color="000000" w:sz="4" w:space="0"/>
            </w:tcBorders>
            <w:noWrap w:val="0"/>
            <w:vAlign w:val="center"/>
          </w:tcPr>
          <w:p w14:paraId="255DA006">
            <w:pPr>
              <w:pStyle w:val="15"/>
              <w:rPr>
                <w:rFonts w:ascii="宋体" w:hAnsi="宋体"/>
                <w:szCs w:val="21"/>
              </w:rPr>
            </w:pPr>
            <w:r>
              <w:rPr>
                <w:rFonts w:ascii="宋体" w:hAnsi="宋体"/>
                <w:szCs w:val="21"/>
              </w:rPr>
              <w:t>满分20分，不符合标准扣0.5分/项；不按要求整改扣1分/次，直至此项不得分</w:t>
            </w: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51EA2600">
            <w:pPr>
              <w:pStyle w:val="15"/>
              <w:jc w:val="center"/>
              <w:rPr>
                <w:rFonts w:ascii="宋体" w:hAnsi="宋体"/>
                <w:szCs w:val="21"/>
              </w:rPr>
            </w:pPr>
            <w:r>
              <w:rPr>
                <w:rFonts w:ascii="宋体" w:hAnsi="宋体"/>
                <w:szCs w:val="21"/>
              </w:rPr>
              <w:t>4</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0B288957">
            <w:pPr>
              <w:pStyle w:val="15"/>
              <w:rPr>
                <w:rFonts w:ascii="宋体" w:hAnsi="宋体"/>
                <w:szCs w:val="21"/>
              </w:rPr>
            </w:pPr>
          </w:p>
        </w:tc>
      </w:tr>
      <w:tr w14:paraId="32936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6DC9A9C5">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66011720">
            <w:pPr>
              <w:pStyle w:val="15"/>
              <w:rPr>
                <w:rFonts w:ascii="宋体" w:hAnsi="宋体"/>
                <w:szCs w:val="21"/>
              </w:rPr>
            </w:pPr>
            <w:r>
              <w:rPr>
                <w:rFonts w:ascii="宋体" w:hAnsi="宋体"/>
                <w:szCs w:val="21"/>
              </w:rPr>
              <w:t>2、</w:t>
            </w:r>
            <w:r>
              <w:rPr>
                <w:rFonts w:ascii="宋体" w:hAnsi="宋体"/>
                <w:bCs/>
                <w:szCs w:val="21"/>
              </w:rPr>
              <w:t>仪容仪表得体，精神面貌良好，工作认真负责，站姿端正，坐姿稳重，服务态度主动热情。</w:t>
            </w:r>
          </w:p>
        </w:tc>
        <w:tc>
          <w:tcPr>
            <w:tcW w:w="1151" w:type="dxa"/>
            <w:vMerge w:val="continue"/>
            <w:tcBorders>
              <w:left w:val="single" w:color="000000" w:sz="4" w:space="0"/>
              <w:right w:val="single" w:color="000000" w:sz="4" w:space="0"/>
            </w:tcBorders>
            <w:noWrap w:val="0"/>
            <w:vAlign w:val="center"/>
          </w:tcPr>
          <w:p w14:paraId="2CBBFBB1">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6CBF6C07">
            <w:pPr>
              <w:pStyle w:val="15"/>
              <w:jc w:val="center"/>
              <w:rPr>
                <w:rFonts w:ascii="宋体" w:hAnsi="宋体"/>
                <w:szCs w:val="21"/>
              </w:rPr>
            </w:pPr>
            <w:r>
              <w:rPr>
                <w:rFonts w:ascii="宋体" w:hAnsi="宋体"/>
                <w:szCs w:val="21"/>
              </w:rPr>
              <w:t>4</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3F88D8F3">
            <w:pPr>
              <w:pStyle w:val="15"/>
              <w:rPr>
                <w:rFonts w:ascii="宋体" w:hAnsi="宋体"/>
                <w:szCs w:val="21"/>
              </w:rPr>
            </w:pPr>
          </w:p>
        </w:tc>
      </w:tr>
      <w:tr w14:paraId="54F5B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0FD832F5">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77648938">
            <w:pPr>
              <w:pStyle w:val="15"/>
              <w:rPr>
                <w:rFonts w:ascii="宋体" w:hAnsi="宋体"/>
                <w:szCs w:val="21"/>
              </w:rPr>
            </w:pPr>
            <w:r>
              <w:rPr>
                <w:rFonts w:ascii="宋体" w:hAnsi="宋体"/>
                <w:szCs w:val="21"/>
              </w:rPr>
              <w:t>3、值班时要遵守工作纪律，不得擅离职守，迟到早退。</w:t>
            </w:r>
          </w:p>
        </w:tc>
        <w:tc>
          <w:tcPr>
            <w:tcW w:w="1151" w:type="dxa"/>
            <w:vMerge w:val="continue"/>
            <w:tcBorders>
              <w:left w:val="single" w:color="000000" w:sz="4" w:space="0"/>
              <w:right w:val="single" w:color="000000" w:sz="4" w:space="0"/>
            </w:tcBorders>
            <w:noWrap w:val="0"/>
            <w:vAlign w:val="center"/>
          </w:tcPr>
          <w:p w14:paraId="365C2D60">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6A394D75">
            <w:pPr>
              <w:pStyle w:val="15"/>
              <w:jc w:val="center"/>
              <w:rPr>
                <w:rFonts w:ascii="宋体" w:hAnsi="宋体"/>
                <w:szCs w:val="21"/>
              </w:rPr>
            </w:pPr>
            <w:r>
              <w:rPr>
                <w:rFonts w:ascii="宋体" w:hAnsi="宋体"/>
                <w:szCs w:val="21"/>
              </w:rPr>
              <w:t>2</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498ADEC3">
            <w:pPr>
              <w:pStyle w:val="15"/>
              <w:rPr>
                <w:rFonts w:ascii="宋体" w:hAnsi="宋体"/>
                <w:szCs w:val="21"/>
              </w:rPr>
            </w:pPr>
          </w:p>
        </w:tc>
      </w:tr>
      <w:tr w14:paraId="4C3E3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023E1B57">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7D049112">
            <w:pPr>
              <w:pStyle w:val="15"/>
              <w:rPr>
                <w:rFonts w:ascii="宋体" w:hAnsi="宋体"/>
                <w:szCs w:val="21"/>
              </w:rPr>
            </w:pPr>
            <w:r>
              <w:rPr>
                <w:rFonts w:ascii="宋体" w:hAnsi="宋体"/>
                <w:szCs w:val="21"/>
              </w:rPr>
              <w:t>4、</w:t>
            </w:r>
            <w:r>
              <w:rPr>
                <w:rFonts w:ascii="宋体" w:hAnsi="宋体"/>
                <w:bCs/>
                <w:szCs w:val="21"/>
              </w:rPr>
              <w:t>每天至少3次巡查楼宇，及时登记形成台账，发现问题，及时协调处理，无长流水、长明灯现象。</w:t>
            </w:r>
          </w:p>
        </w:tc>
        <w:tc>
          <w:tcPr>
            <w:tcW w:w="1151" w:type="dxa"/>
            <w:vMerge w:val="continue"/>
            <w:tcBorders>
              <w:left w:val="single" w:color="000000" w:sz="4" w:space="0"/>
              <w:right w:val="single" w:color="000000" w:sz="4" w:space="0"/>
            </w:tcBorders>
            <w:noWrap w:val="0"/>
            <w:vAlign w:val="center"/>
          </w:tcPr>
          <w:p w14:paraId="2CD26D19">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5916DA5B">
            <w:pPr>
              <w:pStyle w:val="15"/>
              <w:jc w:val="center"/>
              <w:rPr>
                <w:rFonts w:ascii="宋体" w:hAnsi="宋体"/>
                <w:szCs w:val="21"/>
              </w:rPr>
            </w:pPr>
            <w:r>
              <w:rPr>
                <w:rFonts w:ascii="宋体" w:hAnsi="宋体"/>
                <w:szCs w:val="21"/>
              </w:rPr>
              <w:t>4</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6AE566DF">
            <w:pPr>
              <w:pStyle w:val="15"/>
              <w:rPr>
                <w:rFonts w:ascii="宋体" w:hAnsi="宋体"/>
                <w:szCs w:val="21"/>
              </w:rPr>
            </w:pPr>
          </w:p>
        </w:tc>
      </w:tr>
      <w:tr w14:paraId="076E9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6A7AC5ED">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068B3FA2">
            <w:pPr>
              <w:pStyle w:val="15"/>
              <w:rPr>
                <w:rFonts w:ascii="宋体" w:hAnsi="宋体"/>
                <w:szCs w:val="21"/>
              </w:rPr>
            </w:pPr>
            <w:r>
              <w:rPr>
                <w:rFonts w:ascii="宋体" w:hAnsi="宋体"/>
                <w:szCs w:val="21"/>
              </w:rPr>
              <w:t>5、对发生的各种意外事故要及时采取措施，不得退缩不前；对重大事故和火灾要及时报警，并报告带班领导。</w:t>
            </w:r>
          </w:p>
        </w:tc>
        <w:tc>
          <w:tcPr>
            <w:tcW w:w="1151" w:type="dxa"/>
            <w:vMerge w:val="continue"/>
            <w:tcBorders>
              <w:left w:val="single" w:color="000000" w:sz="4" w:space="0"/>
              <w:right w:val="single" w:color="000000" w:sz="4" w:space="0"/>
            </w:tcBorders>
            <w:noWrap w:val="0"/>
            <w:vAlign w:val="center"/>
          </w:tcPr>
          <w:p w14:paraId="32D9CE88">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3EAB8F2E">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6A561385">
            <w:pPr>
              <w:pStyle w:val="15"/>
              <w:rPr>
                <w:rFonts w:ascii="宋体" w:hAnsi="宋体"/>
                <w:szCs w:val="21"/>
              </w:rPr>
            </w:pPr>
          </w:p>
        </w:tc>
      </w:tr>
      <w:tr w14:paraId="2FD40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768A2E10">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center"/>
          </w:tcPr>
          <w:p w14:paraId="4164C292">
            <w:pPr>
              <w:pStyle w:val="15"/>
              <w:rPr>
                <w:rFonts w:ascii="宋体" w:hAnsi="宋体"/>
                <w:szCs w:val="21"/>
              </w:rPr>
            </w:pPr>
            <w:r>
              <w:rPr>
                <w:rFonts w:ascii="宋体" w:hAnsi="宋体"/>
                <w:szCs w:val="21"/>
              </w:rPr>
              <w:t>6、上下班及人流进出密集时，能在主要门口站岗值班。能适时引导、摆放非机动车。</w:t>
            </w:r>
          </w:p>
        </w:tc>
        <w:tc>
          <w:tcPr>
            <w:tcW w:w="1151" w:type="dxa"/>
            <w:vMerge w:val="continue"/>
            <w:tcBorders>
              <w:left w:val="single" w:color="000000" w:sz="4" w:space="0"/>
              <w:bottom w:val="single" w:color="000000" w:sz="4" w:space="0"/>
              <w:right w:val="single" w:color="000000" w:sz="4" w:space="0"/>
            </w:tcBorders>
            <w:noWrap w:val="0"/>
            <w:vAlign w:val="center"/>
          </w:tcPr>
          <w:p w14:paraId="22708318">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1ACA4C8F">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01902946">
            <w:pPr>
              <w:pStyle w:val="15"/>
              <w:rPr>
                <w:rFonts w:ascii="宋体" w:hAnsi="宋体"/>
                <w:szCs w:val="21"/>
              </w:rPr>
            </w:pPr>
          </w:p>
        </w:tc>
      </w:tr>
      <w:tr w14:paraId="277BA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restart"/>
            <w:tcBorders>
              <w:top w:val="nil"/>
              <w:left w:val="single" w:color="000000" w:sz="4" w:space="0"/>
              <w:bottom w:val="single" w:color="000000" w:sz="4" w:space="0"/>
              <w:right w:val="single" w:color="000000" w:sz="4" w:space="0"/>
            </w:tcBorders>
            <w:noWrap w:val="0"/>
            <w:vAlign w:val="center"/>
          </w:tcPr>
          <w:p w14:paraId="1B8787F6">
            <w:pPr>
              <w:pStyle w:val="15"/>
              <w:rPr>
                <w:rFonts w:ascii="宋体" w:hAnsi="宋体"/>
                <w:szCs w:val="21"/>
              </w:rPr>
            </w:pPr>
            <w:r>
              <w:rPr>
                <w:rFonts w:ascii="宋体" w:hAnsi="宋体"/>
                <w:szCs w:val="21"/>
              </w:rPr>
              <w:t>保洁服务20分）</w:t>
            </w:r>
          </w:p>
          <w:p w14:paraId="77C95567">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7BD15EB6">
            <w:pPr>
              <w:pStyle w:val="15"/>
              <w:rPr>
                <w:rFonts w:ascii="宋体" w:hAnsi="宋体"/>
                <w:szCs w:val="21"/>
              </w:rPr>
            </w:pPr>
            <w:r>
              <w:rPr>
                <w:rFonts w:ascii="宋体" w:hAnsi="宋体"/>
                <w:szCs w:val="21"/>
              </w:rPr>
              <w:t>1、楼宇</w:t>
            </w:r>
            <w:r>
              <w:rPr>
                <w:rFonts w:ascii="宋体" w:hAnsi="宋体"/>
                <w:bCs/>
                <w:szCs w:val="21"/>
              </w:rPr>
              <w:t>公共部位地面无水渍、无污渍，无垃圾，无积尘，光亮，墙面无灰尘、无广告、无污渍，光亮，墙角无蜘蛛网。</w:t>
            </w:r>
          </w:p>
        </w:tc>
        <w:tc>
          <w:tcPr>
            <w:tcW w:w="1151" w:type="dxa"/>
            <w:vMerge w:val="restart"/>
            <w:tcBorders>
              <w:top w:val="single" w:color="000000" w:sz="4" w:space="0"/>
              <w:left w:val="single" w:color="000000" w:sz="4" w:space="0"/>
              <w:right w:val="single" w:color="000000" w:sz="4" w:space="0"/>
            </w:tcBorders>
            <w:noWrap w:val="0"/>
            <w:vAlign w:val="center"/>
          </w:tcPr>
          <w:p w14:paraId="4C4867A6">
            <w:pPr>
              <w:pStyle w:val="15"/>
              <w:rPr>
                <w:rFonts w:ascii="宋体" w:hAnsi="宋体"/>
                <w:szCs w:val="21"/>
              </w:rPr>
            </w:pPr>
            <w:r>
              <w:rPr>
                <w:rFonts w:ascii="宋体" w:hAnsi="宋体"/>
                <w:szCs w:val="21"/>
              </w:rPr>
              <w:t>满分20分，不符合标准扣0.5分/项；不按要求整改扣1分/次，直至此项不得分</w:t>
            </w: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3FAEA452">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6C4E9717">
            <w:pPr>
              <w:pStyle w:val="15"/>
              <w:rPr>
                <w:rFonts w:ascii="宋体" w:hAnsi="宋体"/>
                <w:szCs w:val="21"/>
              </w:rPr>
            </w:pPr>
          </w:p>
        </w:tc>
      </w:tr>
      <w:tr w14:paraId="25F3B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62963E1C">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center"/>
          </w:tcPr>
          <w:p w14:paraId="5ED7DE11">
            <w:pPr>
              <w:pStyle w:val="15"/>
              <w:rPr>
                <w:rFonts w:ascii="宋体" w:hAnsi="宋体"/>
                <w:szCs w:val="21"/>
              </w:rPr>
            </w:pPr>
            <w:r>
              <w:rPr>
                <w:rFonts w:ascii="宋体" w:hAnsi="宋体"/>
                <w:szCs w:val="21"/>
              </w:rPr>
              <w:t>2、</w:t>
            </w:r>
            <w:r>
              <w:rPr>
                <w:rFonts w:ascii="宋体" w:hAnsi="宋体"/>
                <w:bCs/>
                <w:szCs w:val="21"/>
              </w:rPr>
              <w:t>卫生间无异味、厕坑便具洁净无黄渍、镜面、水盆、台面无污点，光亮；纸篓随时清理。</w:t>
            </w:r>
          </w:p>
        </w:tc>
        <w:tc>
          <w:tcPr>
            <w:tcW w:w="1151" w:type="dxa"/>
            <w:vMerge w:val="continue"/>
            <w:tcBorders>
              <w:left w:val="single" w:color="000000" w:sz="4" w:space="0"/>
              <w:right w:val="single" w:color="000000" w:sz="4" w:space="0"/>
            </w:tcBorders>
            <w:noWrap w:val="0"/>
            <w:vAlign w:val="center"/>
          </w:tcPr>
          <w:p w14:paraId="3628857B">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14BEC7AB">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762D4092">
            <w:pPr>
              <w:pStyle w:val="15"/>
              <w:rPr>
                <w:rFonts w:ascii="宋体" w:hAnsi="宋体"/>
                <w:szCs w:val="21"/>
              </w:rPr>
            </w:pPr>
          </w:p>
        </w:tc>
      </w:tr>
      <w:tr w14:paraId="1AB2E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01047E70">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09E5FFCD">
            <w:pPr>
              <w:pStyle w:val="15"/>
              <w:rPr>
                <w:rFonts w:ascii="宋体" w:hAnsi="宋体"/>
                <w:szCs w:val="21"/>
              </w:rPr>
            </w:pPr>
            <w:r>
              <w:rPr>
                <w:rFonts w:ascii="宋体" w:hAnsi="宋体"/>
                <w:szCs w:val="21"/>
              </w:rPr>
              <w:t>3、公共场所无果皮、无纸屑、无塑膜、无痰迹、无污水、无暴露垃圾、无烟头、无乱张贴。</w:t>
            </w:r>
          </w:p>
        </w:tc>
        <w:tc>
          <w:tcPr>
            <w:tcW w:w="1151" w:type="dxa"/>
            <w:vMerge w:val="continue"/>
            <w:tcBorders>
              <w:left w:val="single" w:color="000000" w:sz="4" w:space="0"/>
              <w:right w:val="single" w:color="000000" w:sz="4" w:space="0"/>
            </w:tcBorders>
            <w:noWrap w:val="0"/>
            <w:vAlign w:val="center"/>
          </w:tcPr>
          <w:p w14:paraId="26E4EC9E">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5CCD3D44">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0E924517">
            <w:pPr>
              <w:pStyle w:val="15"/>
              <w:rPr>
                <w:rFonts w:ascii="宋体" w:hAnsi="宋体"/>
                <w:szCs w:val="21"/>
              </w:rPr>
            </w:pPr>
          </w:p>
        </w:tc>
      </w:tr>
      <w:tr w14:paraId="42438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6B5FE161">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1C743BD8">
            <w:pPr>
              <w:pStyle w:val="15"/>
              <w:rPr>
                <w:rFonts w:ascii="宋体" w:hAnsi="宋体"/>
                <w:szCs w:val="21"/>
              </w:rPr>
            </w:pPr>
            <w:r>
              <w:rPr>
                <w:rFonts w:ascii="宋体" w:hAnsi="宋体"/>
                <w:szCs w:val="21"/>
              </w:rPr>
              <w:t>4、保洁工具的定位摆放整齐统一，不得乱放乱丢</w:t>
            </w:r>
          </w:p>
        </w:tc>
        <w:tc>
          <w:tcPr>
            <w:tcW w:w="1151" w:type="dxa"/>
            <w:vMerge w:val="continue"/>
            <w:tcBorders>
              <w:left w:val="single" w:color="000000" w:sz="4" w:space="0"/>
              <w:right w:val="single" w:color="000000" w:sz="4" w:space="0"/>
            </w:tcBorders>
            <w:noWrap w:val="0"/>
            <w:vAlign w:val="center"/>
          </w:tcPr>
          <w:p w14:paraId="2E8A22D7">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2E2C03A4">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1B4EF3E7">
            <w:pPr>
              <w:pStyle w:val="15"/>
              <w:rPr>
                <w:rFonts w:ascii="宋体" w:hAnsi="宋体"/>
                <w:szCs w:val="21"/>
              </w:rPr>
            </w:pPr>
          </w:p>
        </w:tc>
      </w:tr>
      <w:tr w14:paraId="5B8245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15E31795">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65180656">
            <w:pPr>
              <w:pStyle w:val="15"/>
              <w:rPr>
                <w:rFonts w:ascii="宋体" w:hAnsi="宋体"/>
                <w:szCs w:val="21"/>
              </w:rPr>
            </w:pPr>
            <w:r>
              <w:rPr>
                <w:rFonts w:ascii="宋体" w:hAnsi="宋体"/>
                <w:szCs w:val="21"/>
              </w:rPr>
              <w:t>5、室外道路及广场保持路面干净，人行道干净，雨水蓖干净，井口干净，树坑壁干净，垃圾箱干净。</w:t>
            </w:r>
          </w:p>
        </w:tc>
        <w:tc>
          <w:tcPr>
            <w:tcW w:w="1151" w:type="dxa"/>
            <w:vMerge w:val="continue"/>
            <w:tcBorders>
              <w:left w:val="single" w:color="000000" w:sz="4" w:space="0"/>
              <w:right w:val="single" w:color="000000" w:sz="4" w:space="0"/>
            </w:tcBorders>
            <w:noWrap w:val="0"/>
            <w:vAlign w:val="center"/>
          </w:tcPr>
          <w:p w14:paraId="20E86AFD">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04605F24">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518FC832">
            <w:pPr>
              <w:pStyle w:val="15"/>
              <w:rPr>
                <w:rFonts w:ascii="宋体" w:hAnsi="宋体"/>
                <w:szCs w:val="21"/>
              </w:rPr>
            </w:pPr>
          </w:p>
        </w:tc>
      </w:tr>
      <w:tr w14:paraId="562F2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6343E9A2">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31205C12">
            <w:pPr>
              <w:pStyle w:val="15"/>
              <w:rPr>
                <w:rFonts w:ascii="宋体" w:hAnsi="宋体"/>
                <w:szCs w:val="21"/>
              </w:rPr>
            </w:pPr>
            <w:r>
              <w:rPr>
                <w:rFonts w:ascii="宋体" w:hAnsi="宋体"/>
                <w:szCs w:val="21"/>
              </w:rPr>
              <w:t xml:space="preserve">6、垃圾桶清理及时，垃圾日产日清，垃圾桶周边保持干净。                                        </w:t>
            </w:r>
          </w:p>
        </w:tc>
        <w:tc>
          <w:tcPr>
            <w:tcW w:w="1151" w:type="dxa"/>
            <w:vMerge w:val="continue"/>
            <w:tcBorders>
              <w:left w:val="single" w:color="000000" w:sz="4" w:space="0"/>
              <w:right w:val="single" w:color="000000" w:sz="4" w:space="0"/>
            </w:tcBorders>
            <w:noWrap w:val="0"/>
            <w:vAlign w:val="center"/>
          </w:tcPr>
          <w:p w14:paraId="6DD02FCF">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1B69420E">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6E2191A4">
            <w:pPr>
              <w:pStyle w:val="15"/>
              <w:rPr>
                <w:rFonts w:ascii="宋体" w:hAnsi="宋体"/>
                <w:szCs w:val="21"/>
              </w:rPr>
            </w:pPr>
          </w:p>
        </w:tc>
      </w:tr>
      <w:tr w14:paraId="62E6A0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4D6BA998">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1B11DC3C">
            <w:pPr>
              <w:pStyle w:val="15"/>
              <w:rPr>
                <w:rFonts w:ascii="宋体" w:hAnsi="宋体"/>
                <w:szCs w:val="21"/>
              </w:rPr>
            </w:pPr>
            <w:r>
              <w:rPr>
                <w:rFonts w:ascii="宋体" w:hAnsi="宋体"/>
                <w:szCs w:val="21"/>
              </w:rPr>
              <w:t>7、定期灭杀蚊子、苍蝇、老鼠等害虫，做到无滋生源。</w:t>
            </w:r>
            <w:r>
              <w:rPr>
                <w:rFonts w:hint="eastAsia" w:ascii="宋体" w:hAnsi="宋体"/>
                <w:szCs w:val="21"/>
              </w:rPr>
              <w:t>水域保持水体质量良好，保持水面无明显漂浮物。</w:t>
            </w:r>
          </w:p>
        </w:tc>
        <w:tc>
          <w:tcPr>
            <w:tcW w:w="1151" w:type="dxa"/>
            <w:vMerge w:val="continue"/>
            <w:tcBorders>
              <w:left w:val="single" w:color="000000" w:sz="4" w:space="0"/>
              <w:bottom w:val="single" w:color="000000" w:sz="4" w:space="0"/>
              <w:right w:val="single" w:color="000000" w:sz="4" w:space="0"/>
            </w:tcBorders>
            <w:noWrap w:val="0"/>
            <w:vAlign w:val="center"/>
          </w:tcPr>
          <w:p w14:paraId="0BFE04FF">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61D5A986">
            <w:pPr>
              <w:pStyle w:val="15"/>
              <w:jc w:val="center"/>
              <w:rPr>
                <w:rFonts w:ascii="宋体" w:hAnsi="宋体"/>
                <w:szCs w:val="21"/>
              </w:rPr>
            </w:pPr>
            <w:r>
              <w:rPr>
                <w:rFonts w:ascii="宋体" w:hAnsi="宋体"/>
                <w:szCs w:val="21"/>
              </w:rPr>
              <w:t>2</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1A34C63E">
            <w:pPr>
              <w:pStyle w:val="15"/>
              <w:rPr>
                <w:rFonts w:ascii="宋体" w:hAnsi="宋体"/>
                <w:szCs w:val="21"/>
              </w:rPr>
            </w:pPr>
          </w:p>
        </w:tc>
      </w:tr>
      <w:tr w14:paraId="50B4C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restart"/>
            <w:tcBorders>
              <w:top w:val="nil"/>
              <w:left w:val="single" w:color="000000" w:sz="4" w:space="0"/>
              <w:bottom w:val="single" w:color="000000" w:sz="4" w:space="0"/>
              <w:right w:val="single" w:color="000000" w:sz="4" w:space="0"/>
            </w:tcBorders>
            <w:noWrap w:val="0"/>
            <w:vAlign w:val="center"/>
          </w:tcPr>
          <w:p w14:paraId="00C2B187">
            <w:pPr>
              <w:pStyle w:val="15"/>
              <w:rPr>
                <w:rFonts w:ascii="宋体" w:hAnsi="宋体"/>
                <w:szCs w:val="21"/>
              </w:rPr>
            </w:pPr>
            <w:r>
              <w:rPr>
                <w:rFonts w:ascii="宋体" w:hAnsi="宋体"/>
                <w:szCs w:val="21"/>
              </w:rPr>
              <w:t>绿化养护（20分）</w:t>
            </w:r>
          </w:p>
        </w:tc>
        <w:tc>
          <w:tcPr>
            <w:tcW w:w="4280" w:type="dxa"/>
            <w:tcBorders>
              <w:top w:val="single" w:color="000000" w:sz="4" w:space="0"/>
              <w:left w:val="single" w:color="000000" w:sz="4" w:space="0"/>
              <w:bottom w:val="single" w:color="000000" w:sz="4" w:space="0"/>
              <w:right w:val="single" w:color="000000" w:sz="4" w:space="0"/>
            </w:tcBorders>
            <w:noWrap w:val="0"/>
            <w:vAlign w:val="center"/>
          </w:tcPr>
          <w:p w14:paraId="411C491E">
            <w:pPr>
              <w:pStyle w:val="15"/>
              <w:rPr>
                <w:rFonts w:ascii="宋体" w:hAnsi="宋体"/>
                <w:szCs w:val="21"/>
              </w:rPr>
            </w:pPr>
            <w:r>
              <w:rPr>
                <w:rFonts w:ascii="宋体" w:hAnsi="宋体"/>
                <w:szCs w:val="21"/>
              </w:rPr>
              <w:t>1、乔灌木、绿篱、色块、球类、花灌木、造型树按合同要求的时间、频次及标准修剪。修剪、清理后的枝叶及时清运干净。</w:t>
            </w:r>
          </w:p>
        </w:tc>
        <w:tc>
          <w:tcPr>
            <w:tcW w:w="1151" w:type="dxa"/>
            <w:vMerge w:val="restart"/>
            <w:tcBorders>
              <w:top w:val="single" w:color="000000" w:sz="4" w:space="0"/>
              <w:left w:val="single" w:color="000000" w:sz="4" w:space="0"/>
              <w:right w:val="single" w:color="000000" w:sz="4" w:space="0"/>
            </w:tcBorders>
            <w:noWrap w:val="0"/>
            <w:vAlign w:val="center"/>
          </w:tcPr>
          <w:p w14:paraId="26C97A22">
            <w:pPr>
              <w:pStyle w:val="15"/>
              <w:rPr>
                <w:rFonts w:ascii="宋体" w:hAnsi="宋体"/>
                <w:szCs w:val="21"/>
              </w:rPr>
            </w:pPr>
            <w:r>
              <w:rPr>
                <w:rFonts w:ascii="宋体" w:hAnsi="宋体"/>
                <w:szCs w:val="21"/>
              </w:rPr>
              <w:t>满分20分，不符合标准扣0.5分/项；不按要求整改扣1分/次，直至此项不得分</w:t>
            </w: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3F9F0F3E">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658C9051">
            <w:pPr>
              <w:pStyle w:val="15"/>
              <w:rPr>
                <w:rFonts w:ascii="宋体" w:hAnsi="宋体"/>
                <w:szCs w:val="21"/>
              </w:rPr>
            </w:pPr>
          </w:p>
        </w:tc>
      </w:tr>
      <w:tr w14:paraId="76E9D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2DD39C31">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center"/>
          </w:tcPr>
          <w:p w14:paraId="7EF7A982">
            <w:pPr>
              <w:pStyle w:val="15"/>
              <w:rPr>
                <w:rFonts w:ascii="宋体" w:hAnsi="宋体"/>
                <w:szCs w:val="21"/>
              </w:rPr>
            </w:pPr>
            <w:r>
              <w:rPr>
                <w:rFonts w:ascii="宋体" w:hAnsi="宋体"/>
                <w:szCs w:val="21"/>
              </w:rPr>
              <w:t>2、按合同要求的时间、频次及标准完成乔灌球等独立个体的数穴切边，模纹、草坪、地被和园路之间的切边，边沟内无杂草。</w:t>
            </w:r>
          </w:p>
        </w:tc>
        <w:tc>
          <w:tcPr>
            <w:tcW w:w="1151" w:type="dxa"/>
            <w:vMerge w:val="continue"/>
            <w:tcBorders>
              <w:left w:val="single" w:color="000000" w:sz="4" w:space="0"/>
              <w:right w:val="single" w:color="000000" w:sz="4" w:space="0"/>
            </w:tcBorders>
            <w:noWrap w:val="0"/>
            <w:vAlign w:val="center"/>
          </w:tcPr>
          <w:p w14:paraId="237590F2">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24F96AB7">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63DC3D67">
            <w:pPr>
              <w:pStyle w:val="15"/>
              <w:rPr>
                <w:rFonts w:ascii="宋体" w:hAnsi="宋体"/>
                <w:szCs w:val="21"/>
              </w:rPr>
            </w:pPr>
          </w:p>
        </w:tc>
      </w:tr>
      <w:tr w14:paraId="28FC8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119B85EA">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center"/>
          </w:tcPr>
          <w:p w14:paraId="4A9ADD84">
            <w:pPr>
              <w:pStyle w:val="15"/>
              <w:rPr>
                <w:rFonts w:ascii="宋体" w:hAnsi="宋体"/>
                <w:szCs w:val="21"/>
              </w:rPr>
            </w:pPr>
            <w:r>
              <w:rPr>
                <w:rFonts w:ascii="宋体" w:hAnsi="宋体"/>
                <w:szCs w:val="21"/>
              </w:rPr>
              <w:t>3、绿地内地被、花境、草坪按合同要求的时间、频次及标准及时除草，无明显植空带、斑秃。</w:t>
            </w:r>
          </w:p>
        </w:tc>
        <w:tc>
          <w:tcPr>
            <w:tcW w:w="1151" w:type="dxa"/>
            <w:vMerge w:val="continue"/>
            <w:tcBorders>
              <w:left w:val="single" w:color="000000" w:sz="4" w:space="0"/>
              <w:right w:val="single" w:color="000000" w:sz="4" w:space="0"/>
            </w:tcBorders>
            <w:noWrap w:val="0"/>
            <w:vAlign w:val="center"/>
          </w:tcPr>
          <w:p w14:paraId="7D8936B7">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3C6FAB3D">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3318994F">
            <w:pPr>
              <w:pStyle w:val="15"/>
              <w:rPr>
                <w:rFonts w:ascii="宋体" w:hAnsi="宋体"/>
                <w:szCs w:val="21"/>
              </w:rPr>
            </w:pPr>
          </w:p>
        </w:tc>
      </w:tr>
      <w:tr w14:paraId="71049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679329A0">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center"/>
          </w:tcPr>
          <w:p w14:paraId="459DD1ED">
            <w:pPr>
              <w:pStyle w:val="15"/>
              <w:rPr>
                <w:rFonts w:ascii="宋体" w:hAnsi="宋体"/>
                <w:szCs w:val="21"/>
              </w:rPr>
            </w:pPr>
            <w:r>
              <w:rPr>
                <w:rFonts w:ascii="宋体" w:hAnsi="宋体"/>
                <w:szCs w:val="21"/>
              </w:rPr>
              <w:t>4、乔灌木、绿篱色块、球类、草坪、地被病虫害及时治理，无明显症状。</w:t>
            </w:r>
          </w:p>
        </w:tc>
        <w:tc>
          <w:tcPr>
            <w:tcW w:w="1151" w:type="dxa"/>
            <w:vMerge w:val="continue"/>
            <w:tcBorders>
              <w:left w:val="single" w:color="000000" w:sz="4" w:space="0"/>
              <w:right w:val="single" w:color="000000" w:sz="4" w:space="0"/>
            </w:tcBorders>
            <w:noWrap w:val="0"/>
            <w:vAlign w:val="center"/>
          </w:tcPr>
          <w:p w14:paraId="71A31DC8">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50B4DD89">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246DD20E">
            <w:pPr>
              <w:pStyle w:val="15"/>
              <w:rPr>
                <w:rFonts w:ascii="宋体" w:hAnsi="宋体"/>
                <w:szCs w:val="21"/>
              </w:rPr>
            </w:pPr>
          </w:p>
        </w:tc>
      </w:tr>
      <w:tr w14:paraId="10842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6B096775">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center"/>
          </w:tcPr>
          <w:p w14:paraId="107F2025">
            <w:pPr>
              <w:pStyle w:val="15"/>
              <w:rPr>
                <w:rFonts w:ascii="宋体" w:hAnsi="宋体"/>
                <w:szCs w:val="21"/>
              </w:rPr>
            </w:pPr>
            <w:r>
              <w:rPr>
                <w:rFonts w:ascii="宋体" w:hAnsi="宋体"/>
                <w:szCs w:val="21"/>
              </w:rPr>
              <w:t>5、按合同要求的时间、频次及标准浇水，无造成叶片蒙尘、缺水叶片萎蔫或根际裸露、生长势衰弱。冬季浇防冻水，无因浇防冻水不及时、不足量导致返青萌发困难、苗木死亡。</w:t>
            </w:r>
          </w:p>
        </w:tc>
        <w:tc>
          <w:tcPr>
            <w:tcW w:w="1151" w:type="dxa"/>
            <w:vMerge w:val="continue"/>
            <w:tcBorders>
              <w:left w:val="single" w:color="000000" w:sz="4" w:space="0"/>
              <w:right w:val="single" w:color="000000" w:sz="4" w:space="0"/>
            </w:tcBorders>
            <w:noWrap w:val="0"/>
            <w:vAlign w:val="center"/>
          </w:tcPr>
          <w:p w14:paraId="7AC8C367">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5D67172B">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0B6B5B5E">
            <w:pPr>
              <w:pStyle w:val="15"/>
              <w:rPr>
                <w:rFonts w:ascii="宋体" w:hAnsi="宋体"/>
                <w:szCs w:val="21"/>
              </w:rPr>
            </w:pPr>
          </w:p>
        </w:tc>
      </w:tr>
      <w:tr w14:paraId="72A1E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250B1935">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center"/>
          </w:tcPr>
          <w:p w14:paraId="792EDD60">
            <w:pPr>
              <w:pStyle w:val="15"/>
              <w:rPr>
                <w:rFonts w:ascii="宋体" w:hAnsi="宋体"/>
                <w:szCs w:val="21"/>
              </w:rPr>
            </w:pPr>
            <w:r>
              <w:rPr>
                <w:rFonts w:ascii="宋体" w:hAnsi="宋体"/>
                <w:szCs w:val="21"/>
              </w:rPr>
              <w:t>6、按标准规定的品种、数量和期限要求施肥。</w:t>
            </w:r>
          </w:p>
        </w:tc>
        <w:tc>
          <w:tcPr>
            <w:tcW w:w="1151" w:type="dxa"/>
            <w:vMerge w:val="continue"/>
            <w:tcBorders>
              <w:left w:val="single" w:color="000000" w:sz="4" w:space="0"/>
              <w:right w:val="single" w:color="000000" w:sz="4" w:space="0"/>
            </w:tcBorders>
            <w:noWrap w:val="0"/>
            <w:vAlign w:val="center"/>
          </w:tcPr>
          <w:p w14:paraId="0EF75A76">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709518E2">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2AEF271D">
            <w:pPr>
              <w:pStyle w:val="15"/>
              <w:rPr>
                <w:rFonts w:ascii="宋体" w:hAnsi="宋体"/>
                <w:szCs w:val="21"/>
              </w:rPr>
            </w:pPr>
          </w:p>
        </w:tc>
      </w:tr>
      <w:tr w14:paraId="189FF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2CD414E8">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center"/>
          </w:tcPr>
          <w:p w14:paraId="4152E7C8">
            <w:pPr>
              <w:pStyle w:val="15"/>
              <w:rPr>
                <w:rFonts w:ascii="宋体" w:hAnsi="宋体"/>
                <w:szCs w:val="21"/>
              </w:rPr>
            </w:pPr>
            <w:r>
              <w:rPr>
                <w:rFonts w:ascii="宋体" w:hAnsi="宋体"/>
                <w:szCs w:val="21"/>
              </w:rPr>
              <w:t>7、雨季排涝措施及时得当，高大乔木在风暴来临时采取有效措施加固树木。</w:t>
            </w:r>
          </w:p>
        </w:tc>
        <w:tc>
          <w:tcPr>
            <w:tcW w:w="1151" w:type="dxa"/>
            <w:vMerge w:val="continue"/>
            <w:tcBorders>
              <w:left w:val="single" w:color="000000" w:sz="4" w:space="0"/>
              <w:bottom w:val="single" w:color="000000" w:sz="4" w:space="0"/>
              <w:right w:val="single" w:color="000000" w:sz="4" w:space="0"/>
            </w:tcBorders>
            <w:noWrap w:val="0"/>
            <w:vAlign w:val="center"/>
          </w:tcPr>
          <w:p w14:paraId="383CE706">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2A6E7262">
            <w:pPr>
              <w:pStyle w:val="15"/>
              <w:jc w:val="center"/>
              <w:rPr>
                <w:rFonts w:ascii="宋体" w:hAnsi="宋体"/>
                <w:szCs w:val="21"/>
              </w:rPr>
            </w:pPr>
            <w:r>
              <w:rPr>
                <w:rFonts w:ascii="宋体" w:hAnsi="宋体"/>
                <w:szCs w:val="21"/>
              </w:rPr>
              <w:t>2</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1CFE456B">
            <w:pPr>
              <w:pStyle w:val="15"/>
              <w:rPr>
                <w:rFonts w:ascii="宋体" w:hAnsi="宋体"/>
                <w:szCs w:val="21"/>
              </w:rPr>
            </w:pPr>
          </w:p>
        </w:tc>
      </w:tr>
      <w:tr w14:paraId="60131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restart"/>
            <w:tcBorders>
              <w:top w:val="nil"/>
              <w:left w:val="single" w:color="000000" w:sz="4" w:space="0"/>
              <w:bottom w:val="single" w:color="000000" w:sz="4" w:space="0"/>
              <w:right w:val="single" w:color="000000" w:sz="4" w:space="0"/>
            </w:tcBorders>
            <w:noWrap w:val="0"/>
            <w:vAlign w:val="center"/>
          </w:tcPr>
          <w:p w14:paraId="60372601">
            <w:pPr>
              <w:pStyle w:val="15"/>
              <w:rPr>
                <w:rFonts w:ascii="宋体" w:hAnsi="宋体"/>
                <w:szCs w:val="21"/>
              </w:rPr>
            </w:pPr>
            <w:r>
              <w:rPr>
                <w:rFonts w:ascii="宋体" w:hAnsi="宋体"/>
                <w:szCs w:val="21"/>
              </w:rPr>
              <w:t>维修服务（20分）</w:t>
            </w: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4B4C9854">
            <w:pPr>
              <w:pStyle w:val="15"/>
              <w:rPr>
                <w:rFonts w:ascii="宋体" w:hAnsi="宋体"/>
                <w:szCs w:val="21"/>
              </w:rPr>
            </w:pPr>
            <w:r>
              <w:rPr>
                <w:rFonts w:ascii="宋体" w:hAnsi="宋体"/>
                <w:szCs w:val="21"/>
              </w:rPr>
              <w:t>1、维修人员持证上岗，有值班、交班记录。</w:t>
            </w:r>
          </w:p>
        </w:tc>
        <w:tc>
          <w:tcPr>
            <w:tcW w:w="1151" w:type="dxa"/>
            <w:vMerge w:val="restart"/>
            <w:tcBorders>
              <w:top w:val="single" w:color="000000" w:sz="4" w:space="0"/>
              <w:left w:val="single" w:color="000000" w:sz="4" w:space="0"/>
              <w:right w:val="single" w:color="000000" w:sz="4" w:space="0"/>
            </w:tcBorders>
            <w:noWrap w:val="0"/>
            <w:vAlign w:val="center"/>
          </w:tcPr>
          <w:p w14:paraId="44DAB585">
            <w:pPr>
              <w:pStyle w:val="15"/>
              <w:rPr>
                <w:rFonts w:ascii="宋体" w:hAnsi="宋体"/>
                <w:szCs w:val="21"/>
              </w:rPr>
            </w:pPr>
            <w:r>
              <w:rPr>
                <w:rFonts w:ascii="宋体" w:hAnsi="宋体"/>
                <w:szCs w:val="21"/>
              </w:rPr>
              <w:t>满分20分，不符合标准扣0.5分/项；不按要求整改扣1分/次，直至此项不得分</w:t>
            </w: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64280828">
            <w:pPr>
              <w:pStyle w:val="15"/>
              <w:jc w:val="center"/>
              <w:rPr>
                <w:rFonts w:ascii="宋体" w:hAnsi="宋体"/>
                <w:szCs w:val="21"/>
              </w:rPr>
            </w:pPr>
            <w:r>
              <w:rPr>
                <w:rFonts w:ascii="宋体" w:hAnsi="宋体"/>
                <w:szCs w:val="21"/>
              </w:rPr>
              <w:t>4</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3DEDE296">
            <w:pPr>
              <w:pStyle w:val="15"/>
              <w:rPr>
                <w:rFonts w:ascii="宋体" w:hAnsi="宋体"/>
                <w:szCs w:val="21"/>
              </w:rPr>
            </w:pPr>
          </w:p>
        </w:tc>
      </w:tr>
      <w:tr w14:paraId="2899C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43006ECD">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5991BA4A">
            <w:pPr>
              <w:pStyle w:val="15"/>
              <w:rPr>
                <w:rFonts w:ascii="宋体" w:hAnsi="宋体"/>
                <w:szCs w:val="21"/>
              </w:rPr>
            </w:pPr>
            <w:r>
              <w:rPr>
                <w:rFonts w:ascii="宋体" w:hAnsi="宋体"/>
                <w:szCs w:val="21"/>
              </w:rPr>
              <w:t>2、设立报修电话，开通报修平台，建立报修档案。</w:t>
            </w:r>
          </w:p>
        </w:tc>
        <w:tc>
          <w:tcPr>
            <w:tcW w:w="1151" w:type="dxa"/>
            <w:vMerge w:val="continue"/>
            <w:tcBorders>
              <w:left w:val="single" w:color="000000" w:sz="4" w:space="0"/>
              <w:right w:val="single" w:color="000000" w:sz="4" w:space="0"/>
            </w:tcBorders>
            <w:noWrap w:val="0"/>
            <w:vAlign w:val="center"/>
          </w:tcPr>
          <w:p w14:paraId="1B89F0E3">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3908BC94">
            <w:pPr>
              <w:pStyle w:val="15"/>
              <w:jc w:val="center"/>
              <w:rPr>
                <w:rFonts w:ascii="宋体" w:hAnsi="宋体"/>
                <w:szCs w:val="21"/>
              </w:rPr>
            </w:pPr>
            <w:r>
              <w:rPr>
                <w:rFonts w:ascii="宋体" w:hAnsi="宋体"/>
                <w:szCs w:val="21"/>
              </w:rPr>
              <w:t>4</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73837F44">
            <w:pPr>
              <w:pStyle w:val="15"/>
              <w:rPr>
                <w:rFonts w:ascii="宋体" w:hAnsi="宋体"/>
                <w:szCs w:val="21"/>
              </w:rPr>
            </w:pPr>
          </w:p>
        </w:tc>
      </w:tr>
      <w:tr w14:paraId="2FD91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299A6A9E">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4AFB8CFE">
            <w:pPr>
              <w:pStyle w:val="15"/>
              <w:rPr>
                <w:rFonts w:ascii="宋体" w:hAnsi="宋体"/>
                <w:szCs w:val="21"/>
              </w:rPr>
            </w:pPr>
            <w:r>
              <w:rPr>
                <w:rFonts w:ascii="宋体" w:hAnsi="宋体"/>
                <w:szCs w:val="21"/>
              </w:rPr>
              <w:t>3、经常性地对辖区内的公共设施和设备、水电管网的完好情况进行巡查，发现问题应及时处理或修理，每月至少全面巡查一次。</w:t>
            </w:r>
          </w:p>
        </w:tc>
        <w:tc>
          <w:tcPr>
            <w:tcW w:w="1151" w:type="dxa"/>
            <w:vMerge w:val="continue"/>
            <w:tcBorders>
              <w:left w:val="single" w:color="000000" w:sz="4" w:space="0"/>
              <w:right w:val="single" w:color="000000" w:sz="4" w:space="0"/>
            </w:tcBorders>
            <w:noWrap w:val="0"/>
            <w:vAlign w:val="center"/>
          </w:tcPr>
          <w:p w14:paraId="74D51FCB">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39AD064C">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0B4B9407">
            <w:pPr>
              <w:pStyle w:val="15"/>
              <w:rPr>
                <w:rFonts w:ascii="宋体" w:hAnsi="宋体"/>
                <w:szCs w:val="21"/>
              </w:rPr>
            </w:pPr>
          </w:p>
        </w:tc>
      </w:tr>
      <w:tr w14:paraId="36344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35B3B8AF">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4435B8E2">
            <w:pPr>
              <w:pStyle w:val="15"/>
              <w:rPr>
                <w:rFonts w:ascii="宋体" w:hAnsi="宋体"/>
                <w:szCs w:val="21"/>
              </w:rPr>
            </w:pPr>
            <w:r>
              <w:rPr>
                <w:rFonts w:ascii="宋体" w:hAnsi="宋体"/>
                <w:szCs w:val="21"/>
              </w:rPr>
              <w:t>4、维修及时，维修材料使用规范，符合要求；管理人员对维修有验收，返修率低于3%。</w:t>
            </w:r>
          </w:p>
        </w:tc>
        <w:tc>
          <w:tcPr>
            <w:tcW w:w="1151" w:type="dxa"/>
            <w:vMerge w:val="continue"/>
            <w:tcBorders>
              <w:left w:val="single" w:color="000000" w:sz="4" w:space="0"/>
              <w:right w:val="single" w:color="000000" w:sz="4" w:space="0"/>
            </w:tcBorders>
            <w:noWrap w:val="0"/>
            <w:vAlign w:val="center"/>
          </w:tcPr>
          <w:p w14:paraId="067017D9">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55C3C11E">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5413C0E5">
            <w:pPr>
              <w:pStyle w:val="15"/>
              <w:rPr>
                <w:rFonts w:ascii="宋体" w:hAnsi="宋体"/>
                <w:szCs w:val="21"/>
              </w:rPr>
            </w:pPr>
          </w:p>
        </w:tc>
      </w:tr>
      <w:tr w14:paraId="47979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140FFC1D">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1CFB0EF8">
            <w:pPr>
              <w:pStyle w:val="15"/>
              <w:rPr>
                <w:rFonts w:ascii="宋体" w:hAnsi="宋体"/>
                <w:szCs w:val="21"/>
              </w:rPr>
            </w:pPr>
            <w:r>
              <w:rPr>
                <w:rFonts w:ascii="宋体" w:hAnsi="宋体"/>
                <w:szCs w:val="21"/>
              </w:rPr>
              <w:t>5、按年、季度、月拟定维修工作计划。</w:t>
            </w:r>
          </w:p>
        </w:tc>
        <w:tc>
          <w:tcPr>
            <w:tcW w:w="1151" w:type="dxa"/>
            <w:vMerge w:val="continue"/>
            <w:tcBorders>
              <w:left w:val="single" w:color="000000" w:sz="4" w:space="0"/>
              <w:right w:val="single" w:color="000000" w:sz="4" w:space="0"/>
            </w:tcBorders>
            <w:noWrap w:val="0"/>
            <w:vAlign w:val="center"/>
          </w:tcPr>
          <w:p w14:paraId="509B9490">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6F58179A">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7CD157E4">
            <w:pPr>
              <w:pStyle w:val="15"/>
              <w:rPr>
                <w:rFonts w:ascii="宋体" w:hAnsi="宋体"/>
                <w:szCs w:val="21"/>
              </w:rPr>
            </w:pPr>
          </w:p>
        </w:tc>
      </w:tr>
      <w:tr w14:paraId="1D74B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2" w:type="dxa"/>
            <w:vMerge w:val="continue"/>
            <w:tcBorders>
              <w:top w:val="nil"/>
              <w:left w:val="single" w:color="000000" w:sz="4" w:space="0"/>
              <w:bottom w:val="single" w:color="000000" w:sz="4" w:space="0"/>
              <w:right w:val="single" w:color="000000" w:sz="4" w:space="0"/>
            </w:tcBorders>
            <w:noWrap w:val="0"/>
            <w:vAlign w:val="center"/>
          </w:tcPr>
          <w:p w14:paraId="27C7F29E">
            <w:pPr>
              <w:pStyle w:val="15"/>
              <w:rPr>
                <w:rFonts w:ascii="宋体" w:hAnsi="宋体"/>
                <w:szCs w:val="21"/>
              </w:rPr>
            </w:pPr>
          </w:p>
        </w:tc>
        <w:tc>
          <w:tcPr>
            <w:tcW w:w="4280" w:type="dxa"/>
            <w:tcBorders>
              <w:top w:val="single" w:color="000000" w:sz="4" w:space="0"/>
              <w:left w:val="single" w:color="000000" w:sz="4" w:space="0"/>
              <w:bottom w:val="single" w:color="000000" w:sz="4" w:space="0"/>
              <w:right w:val="single" w:color="000000" w:sz="4" w:space="0"/>
            </w:tcBorders>
            <w:noWrap w:val="0"/>
            <w:vAlign w:val="top"/>
          </w:tcPr>
          <w:p w14:paraId="11885251">
            <w:pPr>
              <w:pStyle w:val="15"/>
              <w:rPr>
                <w:rFonts w:ascii="宋体" w:hAnsi="宋体"/>
                <w:szCs w:val="21"/>
              </w:rPr>
            </w:pPr>
            <w:r>
              <w:rPr>
                <w:rFonts w:ascii="宋体" w:hAnsi="宋体"/>
                <w:szCs w:val="21"/>
              </w:rPr>
              <w:t>6、保障设施设备正常使用，完好率95%以上。</w:t>
            </w:r>
          </w:p>
        </w:tc>
        <w:tc>
          <w:tcPr>
            <w:tcW w:w="1151" w:type="dxa"/>
            <w:vMerge w:val="continue"/>
            <w:tcBorders>
              <w:left w:val="single" w:color="000000" w:sz="4" w:space="0"/>
              <w:bottom w:val="single" w:color="000000" w:sz="4" w:space="0"/>
              <w:right w:val="single" w:color="000000" w:sz="4" w:space="0"/>
            </w:tcBorders>
            <w:noWrap w:val="0"/>
            <w:vAlign w:val="center"/>
          </w:tcPr>
          <w:p w14:paraId="339B7C65">
            <w:pPr>
              <w:pStyle w:val="15"/>
              <w:rPr>
                <w:rFonts w:ascii="宋体" w:hAnsi="宋体"/>
                <w:szCs w:val="21"/>
              </w:rPr>
            </w:pPr>
          </w:p>
        </w:tc>
        <w:tc>
          <w:tcPr>
            <w:tcW w:w="963" w:type="dxa"/>
            <w:tcBorders>
              <w:top w:val="single" w:color="000000" w:sz="4" w:space="0"/>
              <w:left w:val="single" w:color="000000" w:sz="4" w:space="0"/>
              <w:bottom w:val="single" w:color="000000" w:sz="4" w:space="0"/>
              <w:right w:val="single" w:color="000000" w:sz="4" w:space="0"/>
            </w:tcBorders>
            <w:noWrap w:val="0"/>
            <w:vAlign w:val="center"/>
          </w:tcPr>
          <w:p w14:paraId="59EB34D5">
            <w:pPr>
              <w:pStyle w:val="15"/>
              <w:jc w:val="center"/>
              <w:rPr>
                <w:rFonts w:ascii="宋体" w:hAnsi="宋体"/>
                <w:szCs w:val="21"/>
              </w:rPr>
            </w:pPr>
            <w:r>
              <w:rPr>
                <w:rFonts w:ascii="宋体" w:hAnsi="宋体"/>
                <w:szCs w:val="21"/>
              </w:rPr>
              <w:t>3</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44D971F0">
            <w:pPr>
              <w:pStyle w:val="15"/>
              <w:rPr>
                <w:rFonts w:ascii="宋体" w:hAnsi="宋体"/>
                <w:szCs w:val="21"/>
              </w:rPr>
            </w:pPr>
          </w:p>
        </w:tc>
      </w:tr>
      <w:tr w14:paraId="48A65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33" w:type="dxa"/>
            <w:gridSpan w:val="3"/>
            <w:tcBorders>
              <w:top w:val="single" w:color="000000" w:sz="4" w:space="0"/>
              <w:left w:val="single" w:color="000000" w:sz="4" w:space="0"/>
              <w:bottom w:val="single" w:color="000000" w:sz="4" w:space="0"/>
              <w:right w:val="single" w:color="000000" w:sz="4" w:space="0"/>
            </w:tcBorders>
            <w:noWrap w:val="0"/>
            <w:vAlign w:val="center"/>
          </w:tcPr>
          <w:p w14:paraId="0F472D1C">
            <w:pPr>
              <w:pStyle w:val="15"/>
              <w:rPr>
                <w:rFonts w:ascii="宋体" w:hAnsi="宋体"/>
                <w:szCs w:val="21"/>
              </w:rPr>
            </w:pPr>
            <w:r>
              <w:rPr>
                <w:rFonts w:ascii="宋体" w:hAnsi="宋体"/>
                <w:szCs w:val="21"/>
              </w:rPr>
              <w:t>合  计  得  分</w:t>
            </w:r>
          </w:p>
        </w:tc>
        <w:tc>
          <w:tcPr>
            <w:tcW w:w="1678" w:type="dxa"/>
            <w:gridSpan w:val="2"/>
            <w:tcBorders>
              <w:top w:val="single" w:color="000000" w:sz="4" w:space="0"/>
              <w:left w:val="single" w:color="000000" w:sz="4" w:space="0"/>
              <w:bottom w:val="single" w:color="000000" w:sz="4" w:space="0"/>
              <w:right w:val="single" w:color="000000" w:sz="4" w:space="0"/>
            </w:tcBorders>
            <w:noWrap w:val="0"/>
            <w:vAlign w:val="center"/>
          </w:tcPr>
          <w:p w14:paraId="728A6FC2">
            <w:pPr>
              <w:pStyle w:val="15"/>
              <w:rPr>
                <w:rFonts w:ascii="宋体" w:hAnsi="宋体"/>
                <w:szCs w:val="21"/>
              </w:rPr>
            </w:pPr>
          </w:p>
        </w:tc>
      </w:tr>
      <w:tr w14:paraId="5E4E6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11" w:type="dxa"/>
            <w:gridSpan w:val="5"/>
            <w:tcBorders>
              <w:top w:val="single" w:color="000000" w:sz="4" w:space="0"/>
              <w:left w:val="single" w:color="000000" w:sz="4" w:space="0"/>
              <w:bottom w:val="single" w:color="000000" w:sz="4" w:space="0"/>
              <w:right w:val="single" w:color="000000" w:sz="4" w:space="0"/>
            </w:tcBorders>
            <w:noWrap w:val="0"/>
            <w:vAlign w:val="top"/>
          </w:tcPr>
          <w:p w14:paraId="0C77067F">
            <w:pPr>
              <w:pStyle w:val="15"/>
              <w:rPr>
                <w:rFonts w:ascii="宋体" w:hAnsi="宋体"/>
                <w:szCs w:val="21"/>
              </w:rPr>
            </w:pPr>
            <w:r>
              <w:rPr>
                <w:rFonts w:ascii="宋体" w:hAnsi="宋体"/>
                <w:szCs w:val="21"/>
              </w:rPr>
              <w:t>综合评价：</w:t>
            </w:r>
          </w:p>
          <w:p w14:paraId="0F7A2F47">
            <w:pPr>
              <w:pStyle w:val="15"/>
              <w:rPr>
                <w:rFonts w:ascii="宋体" w:hAnsi="宋体"/>
                <w:szCs w:val="21"/>
              </w:rPr>
            </w:pPr>
          </w:p>
          <w:p w14:paraId="765F211C">
            <w:pPr>
              <w:pStyle w:val="15"/>
              <w:rPr>
                <w:rFonts w:ascii="宋体" w:hAnsi="宋体"/>
                <w:szCs w:val="21"/>
              </w:rPr>
            </w:pPr>
            <w:r>
              <w:rPr>
                <w:rFonts w:ascii="宋体" w:hAnsi="宋体"/>
                <w:szCs w:val="21"/>
              </w:rPr>
              <w:t>考核人：                      年   月   日</w:t>
            </w:r>
          </w:p>
        </w:tc>
      </w:tr>
    </w:tbl>
    <w:p w14:paraId="54FED6D1">
      <w:pPr>
        <w:pStyle w:val="15"/>
        <w:rPr>
          <w:rFonts w:ascii="Times New Roman" w:hAnsi="Times New Roman"/>
          <w:b/>
          <w:sz w:val="24"/>
        </w:rPr>
      </w:pPr>
    </w:p>
    <w:p w14:paraId="512F347E">
      <w:pPr>
        <w:spacing w:line="360" w:lineRule="auto"/>
        <w:ind w:firstLine="241"/>
        <w:rPr>
          <w:b/>
          <w:sz w:val="24"/>
        </w:rPr>
      </w:pPr>
    </w:p>
    <w:p w14:paraId="7218139F">
      <w:pPr>
        <w:spacing w:line="360" w:lineRule="auto"/>
        <w:ind w:firstLine="241"/>
        <w:rPr>
          <w:b/>
          <w:sz w:val="28"/>
          <w:szCs w:val="28"/>
        </w:rPr>
      </w:pPr>
      <w:r>
        <w:rPr>
          <w:b/>
          <w:sz w:val="24"/>
        </w:rPr>
        <w:t>1.2季度测评考核表</w:t>
      </w:r>
    </w:p>
    <w:p w14:paraId="5E64A40A">
      <w:pPr>
        <w:spacing w:before="156" w:beforeLines="50" w:after="156" w:afterLines="50" w:line="720" w:lineRule="exact"/>
        <w:jc w:val="center"/>
        <w:rPr>
          <w:rFonts w:ascii="方正小标宋简体" w:eastAsia="方正小标宋简体"/>
          <w:sz w:val="44"/>
          <w:szCs w:val="44"/>
        </w:rPr>
      </w:pPr>
      <w:r>
        <w:rPr>
          <w:b/>
          <w:sz w:val="28"/>
          <w:szCs w:val="28"/>
        </w:rPr>
        <w:t>江苏海洋大学物业服务季度测评考核表</w:t>
      </w:r>
      <w:bookmarkStart w:id="0" w:name="OLE_LINK4"/>
    </w:p>
    <w:bookmarkEnd w:id="0"/>
    <w:p w14:paraId="5A2085CE">
      <w:pPr>
        <w:rPr>
          <w:b/>
          <w:sz w:val="24"/>
        </w:rPr>
      </w:pPr>
      <w:r>
        <w:t xml:space="preserve">                                                                考核时间：</w:t>
      </w:r>
      <w:r>
        <w:rPr>
          <w:b/>
          <w:sz w:val="24"/>
        </w:rPr>
        <w:t xml:space="preserve"> </w:t>
      </w:r>
    </w:p>
    <w:tbl>
      <w:tblPr>
        <w:tblStyle w:val="8"/>
        <w:tblW w:w="83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7"/>
        <w:gridCol w:w="517"/>
        <w:gridCol w:w="2955"/>
        <w:gridCol w:w="443"/>
        <w:gridCol w:w="307"/>
        <w:gridCol w:w="345"/>
        <w:gridCol w:w="338"/>
        <w:gridCol w:w="367"/>
        <w:gridCol w:w="368"/>
        <w:gridCol w:w="435"/>
        <w:gridCol w:w="390"/>
        <w:gridCol w:w="427"/>
        <w:gridCol w:w="315"/>
        <w:gridCol w:w="628"/>
      </w:tblGrid>
      <w:tr w14:paraId="09ACB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47" w:type="dxa"/>
            <w:vMerge w:val="restart"/>
            <w:noWrap w:val="0"/>
            <w:vAlign w:val="center"/>
          </w:tcPr>
          <w:p w14:paraId="387B1019">
            <w:pPr>
              <w:spacing w:line="280" w:lineRule="exact"/>
              <w:jc w:val="center"/>
              <w:rPr>
                <w:rFonts w:hint="eastAsia" w:ascii="宋体" w:hAnsi="宋体" w:cs="宋体"/>
                <w:b/>
                <w:bCs/>
              </w:rPr>
            </w:pPr>
            <w:r>
              <w:rPr>
                <w:rFonts w:hint="eastAsia" w:ascii="宋体" w:hAnsi="宋体" w:cs="宋体"/>
                <w:b/>
                <w:bCs/>
              </w:rPr>
              <w:t>序号</w:t>
            </w:r>
          </w:p>
        </w:tc>
        <w:tc>
          <w:tcPr>
            <w:tcW w:w="3472" w:type="dxa"/>
            <w:gridSpan w:val="2"/>
            <w:vMerge w:val="restart"/>
            <w:noWrap w:val="0"/>
            <w:vAlign w:val="center"/>
          </w:tcPr>
          <w:p w14:paraId="1EE8D4AF">
            <w:pPr>
              <w:spacing w:line="280" w:lineRule="exact"/>
              <w:jc w:val="center"/>
              <w:rPr>
                <w:rFonts w:hint="eastAsia" w:ascii="宋体" w:hAnsi="宋体" w:cs="宋体"/>
                <w:b/>
                <w:bCs/>
              </w:rPr>
            </w:pPr>
            <w:r>
              <w:rPr>
                <w:rFonts w:hint="eastAsia" w:ascii="宋体" w:hAnsi="宋体" w:cs="宋体"/>
                <w:b/>
                <w:bCs/>
              </w:rPr>
              <w:t>评议内容</w:t>
            </w:r>
          </w:p>
        </w:tc>
        <w:tc>
          <w:tcPr>
            <w:tcW w:w="4363" w:type="dxa"/>
            <w:gridSpan w:val="11"/>
            <w:noWrap w:val="0"/>
            <w:vAlign w:val="top"/>
          </w:tcPr>
          <w:p w14:paraId="2C92FE97">
            <w:pPr>
              <w:spacing w:line="280" w:lineRule="exact"/>
              <w:rPr>
                <w:rFonts w:hint="eastAsia" w:ascii="宋体" w:hAnsi="宋体" w:cs="宋体"/>
                <w:b/>
                <w:szCs w:val="21"/>
              </w:rPr>
            </w:pPr>
            <w:r>
              <w:rPr>
                <w:rFonts w:hint="eastAsia" w:ascii="宋体" w:hAnsi="宋体" w:cs="宋体"/>
                <w:szCs w:val="21"/>
              </w:rPr>
              <w:t>请在认可的分值内打√，单项满分为10分，不符合标准扣1分/项；不按要求整改扣2分/次，直至此项不得分。</w:t>
            </w:r>
          </w:p>
        </w:tc>
      </w:tr>
      <w:tr w14:paraId="7073B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547" w:type="dxa"/>
            <w:vMerge w:val="continue"/>
            <w:noWrap w:val="0"/>
            <w:vAlign w:val="top"/>
          </w:tcPr>
          <w:p w14:paraId="4A0B457A">
            <w:pPr>
              <w:spacing w:line="280" w:lineRule="exact"/>
              <w:rPr>
                <w:rFonts w:hint="eastAsia" w:ascii="宋体" w:hAnsi="宋体" w:cs="宋体"/>
                <w:b/>
                <w:szCs w:val="21"/>
              </w:rPr>
            </w:pPr>
          </w:p>
        </w:tc>
        <w:tc>
          <w:tcPr>
            <w:tcW w:w="3472" w:type="dxa"/>
            <w:gridSpan w:val="2"/>
            <w:vMerge w:val="continue"/>
            <w:noWrap w:val="0"/>
            <w:vAlign w:val="top"/>
          </w:tcPr>
          <w:p w14:paraId="274C7CB9">
            <w:pPr>
              <w:spacing w:line="280" w:lineRule="exact"/>
              <w:rPr>
                <w:rFonts w:hint="eastAsia" w:ascii="宋体" w:hAnsi="宋体" w:cs="宋体"/>
                <w:b/>
                <w:szCs w:val="21"/>
              </w:rPr>
            </w:pPr>
          </w:p>
        </w:tc>
        <w:tc>
          <w:tcPr>
            <w:tcW w:w="443" w:type="dxa"/>
            <w:noWrap w:val="0"/>
            <w:vAlign w:val="center"/>
          </w:tcPr>
          <w:p w14:paraId="403FE568">
            <w:pPr>
              <w:spacing w:line="280" w:lineRule="exact"/>
              <w:jc w:val="center"/>
              <w:rPr>
                <w:rFonts w:hint="eastAsia" w:ascii="宋体" w:hAnsi="宋体" w:cs="宋体"/>
              </w:rPr>
            </w:pPr>
            <w:r>
              <w:rPr>
                <w:rFonts w:hint="eastAsia" w:ascii="宋体" w:hAnsi="宋体" w:cs="宋体"/>
              </w:rPr>
              <w:t>10</w:t>
            </w:r>
          </w:p>
        </w:tc>
        <w:tc>
          <w:tcPr>
            <w:tcW w:w="307" w:type="dxa"/>
            <w:noWrap w:val="0"/>
            <w:vAlign w:val="center"/>
          </w:tcPr>
          <w:p w14:paraId="206BE1EB">
            <w:pPr>
              <w:spacing w:line="280" w:lineRule="exact"/>
              <w:jc w:val="center"/>
              <w:rPr>
                <w:rFonts w:hint="eastAsia" w:ascii="宋体" w:hAnsi="宋体" w:cs="宋体"/>
              </w:rPr>
            </w:pPr>
            <w:r>
              <w:rPr>
                <w:rFonts w:hint="eastAsia" w:ascii="宋体" w:hAnsi="宋体" w:cs="宋体"/>
              </w:rPr>
              <w:t>9</w:t>
            </w:r>
          </w:p>
        </w:tc>
        <w:tc>
          <w:tcPr>
            <w:tcW w:w="345" w:type="dxa"/>
            <w:noWrap w:val="0"/>
            <w:vAlign w:val="center"/>
          </w:tcPr>
          <w:p w14:paraId="00A4727A">
            <w:pPr>
              <w:spacing w:line="280" w:lineRule="exact"/>
              <w:jc w:val="center"/>
              <w:rPr>
                <w:rFonts w:hint="eastAsia" w:ascii="宋体" w:hAnsi="宋体" w:cs="宋体"/>
              </w:rPr>
            </w:pPr>
            <w:r>
              <w:rPr>
                <w:rFonts w:hint="eastAsia" w:ascii="宋体" w:hAnsi="宋体" w:cs="宋体"/>
              </w:rPr>
              <w:t>8</w:t>
            </w:r>
          </w:p>
        </w:tc>
        <w:tc>
          <w:tcPr>
            <w:tcW w:w="338" w:type="dxa"/>
            <w:noWrap w:val="0"/>
            <w:vAlign w:val="center"/>
          </w:tcPr>
          <w:p w14:paraId="68771131">
            <w:pPr>
              <w:spacing w:line="280" w:lineRule="exact"/>
              <w:jc w:val="center"/>
              <w:rPr>
                <w:rFonts w:hint="eastAsia" w:ascii="宋体" w:hAnsi="宋体" w:cs="宋体"/>
              </w:rPr>
            </w:pPr>
            <w:r>
              <w:rPr>
                <w:rFonts w:hint="eastAsia" w:ascii="宋体" w:hAnsi="宋体" w:cs="宋体"/>
              </w:rPr>
              <w:t>7</w:t>
            </w:r>
          </w:p>
        </w:tc>
        <w:tc>
          <w:tcPr>
            <w:tcW w:w="367" w:type="dxa"/>
            <w:noWrap w:val="0"/>
            <w:vAlign w:val="center"/>
          </w:tcPr>
          <w:p w14:paraId="70814D06">
            <w:pPr>
              <w:spacing w:line="280" w:lineRule="exact"/>
              <w:jc w:val="center"/>
              <w:rPr>
                <w:rFonts w:hint="eastAsia" w:ascii="宋体" w:hAnsi="宋体" w:cs="宋体"/>
              </w:rPr>
            </w:pPr>
            <w:r>
              <w:rPr>
                <w:rFonts w:hint="eastAsia" w:ascii="宋体" w:hAnsi="宋体" w:cs="宋体"/>
              </w:rPr>
              <w:t>6</w:t>
            </w:r>
          </w:p>
        </w:tc>
        <w:tc>
          <w:tcPr>
            <w:tcW w:w="368" w:type="dxa"/>
            <w:noWrap w:val="0"/>
            <w:vAlign w:val="center"/>
          </w:tcPr>
          <w:p w14:paraId="1080E9BC">
            <w:pPr>
              <w:spacing w:line="280" w:lineRule="exact"/>
              <w:jc w:val="center"/>
              <w:rPr>
                <w:rFonts w:hint="eastAsia" w:ascii="宋体" w:hAnsi="宋体" w:cs="宋体"/>
              </w:rPr>
            </w:pPr>
            <w:r>
              <w:rPr>
                <w:rFonts w:hint="eastAsia" w:ascii="宋体" w:hAnsi="宋体" w:cs="宋体"/>
              </w:rPr>
              <w:t>5</w:t>
            </w:r>
          </w:p>
        </w:tc>
        <w:tc>
          <w:tcPr>
            <w:tcW w:w="435" w:type="dxa"/>
            <w:noWrap w:val="0"/>
            <w:vAlign w:val="center"/>
          </w:tcPr>
          <w:p w14:paraId="34FDFF41">
            <w:pPr>
              <w:spacing w:line="280" w:lineRule="exact"/>
              <w:jc w:val="center"/>
              <w:rPr>
                <w:rFonts w:hint="eastAsia" w:ascii="宋体" w:hAnsi="宋体" w:cs="宋体"/>
              </w:rPr>
            </w:pPr>
            <w:r>
              <w:rPr>
                <w:rFonts w:hint="eastAsia" w:ascii="宋体" w:hAnsi="宋体" w:cs="宋体"/>
              </w:rPr>
              <w:t>4</w:t>
            </w:r>
          </w:p>
        </w:tc>
        <w:tc>
          <w:tcPr>
            <w:tcW w:w="390" w:type="dxa"/>
            <w:noWrap w:val="0"/>
            <w:vAlign w:val="center"/>
          </w:tcPr>
          <w:p w14:paraId="50F67A75">
            <w:pPr>
              <w:spacing w:line="280" w:lineRule="exact"/>
              <w:jc w:val="center"/>
              <w:rPr>
                <w:rFonts w:hint="eastAsia" w:ascii="宋体" w:hAnsi="宋体" w:cs="宋体"/>
              </w:rPr>
            </w:pPr>
            <w:r>
              <w:rPr>
                <w:rFonts w:hint="eastAsia" w:ascii="宋体" w:hAnsi="宋体" w:cs="宋体"/>
              </w:rPr>
              <w:t>3</w:t>
            </w:r>
          </w:p>
        </w:tc>
        <w:tc>
          <w:tcPr>
            <w:tcW w:w="427" w:type="dxa"/>
            <w:noWrap w:val="0"/>
            <w:vAlign w:val="center"/>
          </w:tcPr>
          <w:p w14:paraId="1FA4067D">
            <w:pPr>
              <w:spacing w:line="280" w:lineRule="exact"/>
              <w:jc w:val="center"/>
              <w:rPr>
                <w:rFonts w:hint="eastAsia" w:ascii="宋体" w:hAnsi="宋体" w:cs="宋体"/>
              </w:rPr>
            </w:pPr>
            <w:r>
              <w:rPr>
                <w:rFonts w:hint="eastAsia" w:ascii="宋体" w:hAnsi="宋体" w:cs="宋体"/>
              </w:rPr>
              <w:t>2</w:t>
            </w:r>
          </w:p>
        </w:tc>
        <w:tc>
          <w:tcPr>
            <w:tcW w:w="315" w:type="dxa"/>
            <w:noWrap w:val="0"/>
            <w:vAlign w:val="center"/>
          </w:tcPr>
          <w:p w14:paraId="46FC9E08">
            <w:pPr>
              <w:spacing w:line="280" w:lineRule="exact"/>
              <w:jc w:val="center"/>
              <w:rPr>
                <w:rFonts w:hint="eastAsia" w:ascii="宋体" w:hAnsi="宋体" w:cs="宋体"/>
              </w:rPr>
            </w:pPr>
            <w:r>
              <w:rPr>
                <w:rFonts w:hint="eastAsia" w:ascii="宋体" w:hAnsi="宋体" w:cs="宋体"/>
              </w:rPr>
              <w:t>1</w:t>
            </w:r>
          </w:p>
        </w:tc>
        <w:tc>
          <w:tcPr>
            <w:tcW w:w="628" w:type="dxa"/>
            <w:noWrap w:val="0"/>
            <w:vAlign w:val="center"/>
          </w:tcPr>
          <w:p w14:paraId="3FA8E8C4">
            <w:pPr>
              <w:spacing w:line="280" w:lineRule="exact"/>
              <w:jc w:val="center"/>
              <w:rPr>
                <w:rFonts w:hint="eastAsia" w:ascii="宋体" w:hAnsi="宋体" w:cs="宋体"/>
              </w:rPr>
            </w:pPr>
            <w:r>
              <w:rPr>
                <w:rFonts w:hint="eastAsia" w:ascii="宋体" w:hAnsi="宋体" w:cs="宋体"/>
              </w:rPr>
              <w:t>0</w:t>
            </w:r>
          </w:p>
        </w:tc>
      </w:tr>
      <w:tr w14:paraId="08A3E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47" w:type="dxa"/>
            <w:noWrap w:val="0"/>
            <w:vAlign w:val="center"/>
          </w:tcPr>
          <w:p w14:paraId="3E2620E1">
            <w:pPr>
              <w:spacing w:line="280" w:lineRule="exact"/>
              <w:jc w:val="center"/>
              <w:rPr>
                <w:rFonts w:hint="eastAsia" w:ascii="宋体" w:hAnsi="宋体" w:cs="宋体"/>
              </w:rPr>
            </w:pPr>
            <w:r>
              <w:rPr>
                <w:rFonts w:hint="eastAsia" w:ascii="宋体" w:hAnsi="宋体" w:cs="宋体"/>
              </w:rPr>
              <w:t>1</w:t>
            </w:r>
          </w:p>
        </w:tc>
        <w:tc>
          <w:tcPr>
            <w:tcW w:w="3472" w:type="dxa"/>
            <w:gridSpan w:val="2"/>
            <w:noWrap w:val="0"/>
            <w:vAlign w:val="center"/>
          </w:tcPr>
          <w:p w14:paraId="76463F8E">
            <w:pPr>
              <w:spacing w:line="280" w:lineRule="exact"/>
              <w:rPr>
                <w:rFonts w:hint="eastAsia" w:ascii="宋体" w:hAnsi="宋体" w:cs="宋体"/>
                <w:szCs w:val="21"/>
              </w:rPr>
            </w:pPr>
            <w:r>
              <w:rPr>
                <w:rFonts w:hint="eastAsia" w:ascii="宋体" w:hAnsi="宋体" w:cs="宋体"/>
                <w:szCs w:val="21"/>
              </w:rPr>
              <w:t>组织机构健全、岗位职责明确、管理制度完善，员工着装整洁，热情服务，态度和蔼，文明用语</w:t>
            </w:r>
          </w:p>
        </w:tc>
        <w:tc>
          <w:tcPr>
            <w:tcW w:w="443" w:type="dxa"/>
            <w:noWrap w:val="0"/>
            <w:vAlign w:val="top"/>
          </w:tcPr>
          <w:p w14:paraId="2D574F06">
            <w:pPr>
              <w:spacing w:line="280" w:lineRule="exact"/>
              <w:rPr>
                <w:rFonts w:hint="eastAsia" w:ascii="宋体" w:hAnsi="宋体" w:cs="宋体"/>
                <w:b/>
                <w:szCs w:val="21"/>
              </w:rPr>
            </w:pPr>
          </w:p>
        </w:tc>
        <w:tc>
          <w:tcPr>
            <w:tcW w:w="307" w:type="dxa"/>
            <w:noWrap w:val="0"/>
            <w:vAlign w:val="top"/>
          </w:tcPr>
          <w:p w14:paraId="4D2FF721">
            <w:pPr>
              <w:spacing w:line="280" w:lineRule="exact"/>
              <w:rPr>
                <w:rFonts w:hint="eastAsia" w:ascii="宋体" w:hAnsi="宋体" w:cs="宋体"/>
                <w:b/>
                <w:szCs w:val="21"/>
              </w:rPr>
            </w:pPr>
          </w:p>
        </w:tc>
        <w:tc>
          <w:tcPr>
            <w:tcW w:w="345" w:type="dxa"/>
            <w:noWrap w:val="0"/>
            <w:vAlign w:val="top"/>
          </w:tcPr>
          <w:p w14:paraId="1B860D5A">
            <w:pPr>
              <w:spacing w:line="280" w:lineRule="exact"/>
              <w:rPr>
                <w:rFonts w:hint="eastAsia" w:ascii="宋体" w:hAnsi="宋体" w:cs="宋体"/>
                <w:b/>
                <w:szCs w:val="21"/>
              </w:rPr>
            </w:pPr>
          </w:p>
        </w:tc>
        <w:tc>
          <w:tcPr>
            <w:tcW w:w="338" w:type="dxa"/>
            <w:noWrap w:val="0"/>
            <w:vAlign w:val="top"/>
          </w:tcPr>
          <w:p w14:paraId="104805EB">
            <w:pPr>
              <w:spacing w:line="280" w:lineRule="exact"/>
              <w:rPr>
                <w:rFonts w:hint="eastAsia" w:ascii="宋体" w:hAnsi="宋体" w:cs="宋体"/>
                <w:b/>
                <w:szCs w:val="21"/>
              </w:rPr>
            </w:pPr>
          </w:p>
        </w:tc>
        <w:tc>
          <w:tcPr>
            <w:tcW w:w="367" w:type="dxa"/>
            <w:noWrap w:val="0"/>
            <w:vAlign w:val="top"/>
          </w:tcPr>
          <w:p w14:paraId="703C5DC7">
            <w:pPr>
              <w:spacing w:line="280" w:lineRule="exact"/>
              <w:rPr>
                <w:rFonts w:hint="eastAsia" w:ascii="宋体" w:hAnsi="宋体" w:cs="宋体"/>
                <w:b/>
                <w:szCs w:val="21"/>
              </w:rPr>
            </w:pPr>
          </w:p>
        </w:tc>
        <w:tc>
          <w:tcPr>
            <w:tcW w:w="368" w:type="dxa"/>
            <w:noWrap w:val="0"/>
            <w:vAlign w:val="top"/>
          </w:tcPr>
          <w:p w14:paraId="5670EB0D">
            <w:pPr>
              <w:spacing w:line="280" w:lineRule="exact"/>
              <w:rPr>
                <w:rFonts w:hint="eastAsia" w:ascii="宋体" w:hAnsi="宋体" w:cs="宋体"/>
                <w:b/>
                <w:szCs w:val="21"/>
              </w:rPr>
            </w:pPr>
          </w:p>
        </w:tc>
        <w:tc>
          <w:tcPr>
            <w:tcW w:w="435" w:type="dxa"/>
            <w:noWrap w:val="0"/>
            <w:vAlign w:val="top"/>
          </w:tcPr>
          <w:p w14:paraId="0739EF36">
            <w:pPr>
              <w:spacing w:line="280" w:lineRule="exact"/>
              <w:rPr>
                <w:rFonts w:hint="eastAsia" w:ascii="宋体" w:hAnsi="宋体" w:cs="宋体"/>
                <w:b/>
                <w:szCs w:val="21"/>
              </w:rPr>
            </w:pPr>
          </w:p>
        </w:tc>
        <w:tc>
          <w:tcPr>
            <w:tcW w:w="390" w:type="dxa"/>
            <w:noWrap w:val="0"/>
            <w:vAlign w:val="top"/>
          </w:tcPr>
          <w:p w14:paraId="026F2D1D">
            <w:pPr>
              <w:spacing w:line="280" w:lineRule="exact"/>
              <w:rPr>
                <w:rFonts w:hint="eastAsia" w:ascii="宋体" w:hAnsi="宋体" w:cs="宋体"/>
                <w:b/>
                <w:szCs w:val="21"/>
              </w:rPr>
            </w:pPr>
          </w:p>
        </w:tc>
        <w:tc>
          <w:tcPr>
            <w:tcW w:w="427" w:type="dxa"/>
            <w:noWrap w:val="0"/>
            <w:vAlign w:val="top"/>
          </w:tcPr>
          <w:p w14:paraId="3636E69A">
            <w:pPr>
              <w:spacing w:line="280" w:lineRule="exact"/>
              <w:rPr>
                <w:rFonts w:hint="eastAsia" w:ascii="宋体" w:hAnsi="宋体" w:cs="宋体"/>
                <w:b/>
                <w:szCs w:val="21"/>
              </w:rPr>
            </w:pPr>
          </w:p>
        </w:tc>
        <w:tc>
          <w:tcPr>
            <w:tcW w:w="315" w:type="dxa"/>
            <w:noWrap w:val="0"/>
            <w:vAlign w:val="top"/>
          </w:tcPr>
          <w:p w14:paraId="24128F69">
            <w:pPr>
              <w:spacing w:line="280" w:lineRule="exact"/>
              <w:rPr>
                <w:rFonts w:hint="eastAsia" w:ascii="宋体" w:hAnsi="宋体" w:cs="宋体"/>
                <w:b/>
                <w:szCs w:val="21"/>
              </w:rPr>
            </w:pPr>
          </w:p>
        </w:tc>
        <w:tc>
          <w:tcPr>
            <w:tcW w:w="628" w:type="dxa"/>
            <w:noWrap w:val="0"/>
            <w:vAlign w:val="top"/>
          </w:tcPr>
          <w:p w14:paraId="7D0BA1C7">
            <w:pPr>
              <w:spacing w:line="280" w:lineRule="exact"/>
              <w:rPr>
                <w:rFonts w:hint="eastAsia" w:ascii="宋体" w:hAnsi="宋体" w:cs="宋体"/>
                <w:b/>
                <w:szCs w:val="21"/>
              </w:rPr>
            </w:pPr>
          </w:p>
        </w:tc>
      </w:tr>
      <w:tr w14:paraId="4BB12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47" w:type="dxa"/>
            <w:noWrap w:val="0"/>
            <w:vAlign w:val="center"/>
          </w:tcPr>
          <w:p w14:paraId="64D6EE54">
            <w:pPr>
              <w:spacing w:line="280" w:lineRule="exact"/>
              <w:jc w:val="center"/>
              <w:rPr>
                <w:rFonts w:hint="eastAsia" w:ascii="宋体" w:hAnsi="宋体" w:cs="宋体"/>
              </w:rPr>
            </w:pPr>
            <w:r>
              <w:rPr>
                <w:rFonts w:hint="eastAsia" w:ascii="宋体" w:hAnsi="宋体" w:cs="宋体"/>
              </w:rPr>
              <w:t>2</w:t>
            </w:r>
          </w:p>
        </w:tc>
        <w:tc>
          <w:tcPr>
            <w:tcW w:w="3472" w:type="dxa"/>
            <w:gridSpan w:val="2"/>
            <w:noWrap w:val="0"/>
            <w:vAlign w:val="center"/>
          </w:tcPr>
          <w:p w14:paraId="1E343466">
            <w:pPr>
              <w:spacing w:line="280" w:lineRule="exact"/>
              <w:rPr>
                <w:rFonts w:hint="eastAsia" w:ascii="宋体" w:hAnsi="宋体" w:cs="宋体"/>
                <w:szCs w:val="21"/>
              </w:rPr>
            </w:pPr>
            <w:r>
              <w:rPr>
                <w:rFonts w:hint="eastAsia" w:ascii="宋体" w:hAnsi="宋体" w:cs="宋体"/>
                <w:szCs w:val="21"/>
              </w:rPr>
              <w:t>公共设施设备完好，安全、消防等制度健全、措施到位，并定期开展演练，员工能按预案熟练处置突发情况</w:t>
            </w:r>
          </w:p>
        </w:tc>
        <w:tc>
          <w:tcPr>
            <w:tcW w:w="443" w:type="dxa"/>
            <w:noWrap w:val="0"/>
            <w:vAlign w:val="top"/>
          </w:tcPr>
          <w:p w14:paraId="047C9992">
            <w:pPr>
              <w:spacing w:line="280" w:lineRule="exact"/>
              <w:rPr>
                <w:rFonts w:hint="eastAsia" w:ascii="宋体" w:hAnsi="宋体" w:cs="宋体"/>
                <w:b/>
                <w:szCs w:val="21"/>
              </w:rPr>
            </w:pPr>
          </w:p>
        </w:tc>
        <w:tc>
          <w:tcPr>
            <w:tcW w:w="307" w:type="dxa"/>
            <w:noWrap w:val="0"/>
            <w:vAlign w:val="top"/>
          </w:tcPr>
          <w:p w14:paraId="7DEF438D">
            <w:pPr>
              <w:spacing w:line="280" w:lineRule="exact"/>
              <w:rPr>
                <w:rFonts w:hint="eastAsia" w:ascii="宋体" w:hAnsi="宋体" w:cs="宋体"/>
                <w:b/>
                <w:szCs w:val="21"/>
              </w:rPr>
            </w:pPr>
          </w:p>
        </w:tc>
        <w:tc>
          <w:tcPr>
            <w:tcW w:w="345" w:type="dxa"/>
            <w:noWrap w:val="0"/>
            <w:vAlign w:val="top"/>
          </w:tcPr>
          <w:p w14:paraId="11E63331">
            <w:pPr>
              <w:spacing w:line="280" w:lineRule="exact"/>
              <w:rPr>
                <w:rFonts w:hint="eastAsia" w:ascii="宋体" w:hAnsi="宋体" w:cs="宋体"/>
                <w:b/>
                <w:szCs w:val="21"/>
              </w:rPr>
            </w:pPr>
          </w:p>
        </w:tc>
        <w:tc>
          <w:tcPr>
            <w:tcW w:w="338" w:type="dxa"/>
            <w:noWrap w:val="0"/>
            <w:vAlign w:val="top"/>
          </w:tcPr>
          <w:p w14:paraId="70098563">
            <w:pPr>
              <w:spacing w:line="280" w:lineRule="exact"/>
              <w:rPr>
                <w:rFonts w:hint="eastAsia" w:ascii="宋体" w:hAnsi="宋体" w:cs="宋体"/>
                <w:b/>
                <w:szCs w:val="21"/>
              </w:rPr>
            </w:pPr>
          </w:p>
        </w:tc>
        <w:tc>
          <w:tcPr>
            <w:tcW w:w="367" w:type="dxa"/>
            <w:noWrap w:val="0"/>
            <w:vAlign w:val="top"/>
          </w:tcPr>
          <w:p w14:paraId="1BADB3A7">
            <w:pPr>
              <w:spacing w:line="280" w:lineRule="exact"/>
              <w:rPr>
                <w:rFonts w:hint="eastAsia" w:ascii="宋体" w:hAnsi="宋体" w:cs="宋体"/>
                <w:b/>
                <w:szCs w:val="21"/>
              </w:rPr>
            </w:pPr>
          </w:p>
        </w:tc>
        <w:tc>
          <w:tcPr>
            <w:tcW w:w="368" w:type="dxa"/>
            <w:noWrap w:val="0"/>
            <w:vAlign w:val="top"/>
          </w:tcPr>
          <w:p w14:paraId="2579CB7E">
            <w:pPr>
              <w:spacing w:line="280" w:lineRule="exact"/>
              <w:rPr>
                <w:rFonts w:hint="eastAsia" w:ascii="宋体" w:hAnsi="宋体" w:cs="宋体"/>
                <w:b/>
                <w:szCs w:val="21"/>
              </w:rPr>
            </w:pPr>
          </w:p>
        </w:tc>
        <w:tc>
          <w:tcPr>
            <w:tcW w:w="435" w:type="dxa"/>
            <w:noWrap w:val="0"/>
            <w:vAlign w:val="top"/>
          </w:tcPr>
          <w:p w14:paraId="67BE758B">
            <w:pPr>
              <w:spacing w:line="280" w:lineRule="exact"/>
              <w:rPr>
                <w:rFonts w:hint="eastAsia" w:ascii="宋体" w:hAnsi="宋体" w:cs="宋体"/>
                <w:b/>
                <w:szCs w:val="21"/>
              </w:rPr>
            </w:pPr>
          </w:p>
        </w:tc>
        <w:tc>
          <w:tcPr>
            <w:tcW w:w="390" w:type="dxa"/>
            <w:noWrap w:val="0"/>
            <w:vAlign w:val="top"/>
          </w:tcPr>
          <w:p w14:paraId="03450E63">
            <w:pPr>
              <w:spacing w:line="280" w:lineRule="exact"/>
              <w:rPr>
                <w:rFonts w:hint="eastAsia" w:ascii="宋体" w:hAnsi="宋体" w:cs="宋体"/>
                <w:b/>
                <w:szCs w:val="21"/>
              </w:rPr>
            </w:pPr>
          </w:p>
        </w:tc>
        <w:tc>
          <w:tcPr>
            <w:tcW w:w="427" w:type="dxa"/>
            <w:noWrap w:val="0"/>
            <w:vAlign w:val="top"/>
          </w:tcPr>
          <w:p w14:paraId="6AB1BE9F">
            <w:pPr>
              <w:spacing w:line="280" w:lineRule="exact"/>
              <w:rPr>
                <w:rFonts w:hint="eastAsia" w:ascii="宋体" w:hAnsi="宋体" w:cs="宋体"/>
                <w:b/>
                <w:szCs w:val="21"/>
              </w:rPr>
            </w:pPr>
          </w:p>
        </w:tc>
        <w:tc>
          <w:tcPr>
            <w:tcW w:w="315" w:type="dxa"/>
            <w:noWrap w:val="0"/>
            <w:vAlign w:val="top"/>
          </w:tcPr>
          <w:p w14:paraId="3F77CA68">
            <w:pPr>
              <w:spacing w:line="280" w:lineRule="exact"/>
              <w:rPr>
                <w:rFonts w:hint="eastAsia" w:ascii="宋体" w:hAnsi="宋体" w:cs="宋体"/>
                <w:b/>
                <w:szCs w:val="21"/>
              </w:rPr>
            </w:pPr>
          </w:p>
        </w:tc>
        <w:tc>
          <w:tcPr>
            <w:tcW w:w="628" w:type="dxa"/>
            <w:noWrap w:val="0"/>
            <w:vAlign w:val="top"/>
          </w:tcPr>
          <w:p w14:paraId="69B5D312">
            <w:pPr>
              <w:spacing w:line="280" w:lineRule="exact"/>
              <w:rPr>
                <w:rFonts w:hint="eastAsia" w:ascii="宋体" w:hAnsi="宋体" w:cs="宋体"/>
                <w:b/>
                <w:szCs w:val="21"/>
              </w:rPr>
            </w:pPr>
          </w:p>
        </w:tc>
      </w:tr>
      <w:tr w14:paraId="7A73D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47" w:type="dxa"/>
            <w:noWrap w:val="0"/>
            <w:vAlign w:val="center"/>
          </w:tcPr>
          <w:p w14:paraId="016AE874">
            <w:pPr>
              <w:spacing w:line="280" w:lineRule="exact"/>
              <w:jc w:val="center"/>
              <w:rPr>
                <w:rFonts w:hint="eastAsia" w:ascii="宋体" w:hAnsi="宋体" w:cs="宋体"/>
              </w:rPr>
            </w:pPr>
            <w:r>
              <w:rPr>
                <w:rFonts w:hint="eastAsia" w:ascii="宋体" w:hAnsi="宋体" w:cs="宋体"/>
              </w:rPr>
              <w:t>3</w:t>
            </w:r>
          </w:p>
        </w:tc>
        <w:tc>
          <w:tcPr>
            <w:tcW w:w="3472" w:type="dxa"/>
            <w:gridSpan w:val="2"/>
            <w:noWrap w:val="0"/>
            <w:vAlign w:val="center"/>
          </w:tcPr>
          <w:p w14:paraId="4E7AB840">
            <w:pPr>
              <w:spacing w:line="280" w:lineRule="exact"/>
              <w:rPr>
                <w:rFonts w:hint="eastAsia" w:ascii="宋体" w:hAnsi="宋体" w:cs="宋体"/>
                <w:szCs w:val="21"/>
              </w:rPr>
            </w:pPr>
            <w:r>
              <w:rPr>
                <w:rFonts w:hint="eastAsia" w:ascii="宋体" w:hAnsi="宋体" w:cs="宋体"/>
                <w:szCs w:val="21"/>
              </w:rPr>
              <w:t>值班记录完整清晰，无漏记错记，值班巡查到位，严格出入管理，按时开关门窗、电源，交接班手续完备</w:t>
            </w:r>
          </w:p>
        </w:tc>
        <w:tc>
          <w:tcPr>
            <w:tcW w:w="443" w:type="dxa"/>
            <w:noWrap w:val="0"/>
            <w:vAlign w:val="top"/>
          </w:tcPr>
          <w:p w14:paraId="63496504">
            <w:pPr>
              <w:spacing w:line="280" w:lineRule="exact"/>
              <w:rPr>
                <w:rFonts w:hint="eastAsia" w:ascii="宋体" w:hAnsi="宋体" w:cs="宋体"/>
                <w:b/>
                <w:szCs w:val="21"/>
              </w:rPr>
            </w:pPr>
          </w:p>
        </w:tc>
        <w:tc>
          <w:tcPr>
            <w:tcW w:w="307" w:type="dxa"/>
            <w:noWrap w:val="0"/>
            <w:vAlign w:val="top"/>
          </w:tcPr>
          <w:p w14:paraId="12FE5E71">
            <w:pPr>
              <w:spacing w:line="280" w:lineRule="exact"/>
              <w:rPr>
                <w:rFonts w:hint="eastAsia" w:ascii="宋体" w:hAnsi="宋体" w:cs="宋体"/>
                <w:b/>
                <w:szCs w:val="21"/>
              </w:rPr>
            </w:pPr>
          </w:p>
        </w:tc>
        <w:tc>
          <w:tcPr>
            <w:tcW w:w="345" w:type="dxa"/>
            <w:noWrap w:val="0"/>
            <w:vAlign w:val="top"/>
          </w:tcPr>
          <w:p w14:paraId="14E908C5">
            <w:pPr>
              <w:spacing w:line="280" w:lineRule="exact"/>
              <w:rPr>
                <w:rFonts w:hint="eastAsia" w:ascii="宋体" w:hAnsi="宋体" w:cs="宋体"/>
                <w:b/>
                <w:szCs w:val="21"/>
              </w:rPr>
            </w:pPr>
          </w:p>
        </w:tc>
        <w:tc>
          <w:tcPr>
            <w:tcW w:w="338" w:type="dxa"/>
            <w:noWrap w:val="0"/>
            <w:vAlign w:val="top"/>
          </w:tcPr>
          <w:p w14:paraId="010449F0">
            <w:pPr>
              <w:spacing w:line="280" w:lineRule="exact"/>
              <w:rPr>
                <w:rFonts w:hint="eastAsia" w:ascii="宋体" w:hAnsi="宋体" w:cs="宋体"/>
                <w:b/>
                <w:szCs w:val="21"/>
              </w:rPr>
            </w:pPr>
          </w:p>
        </w:tc>
        <w:tc>
          <w:tcPr>
            <w:tcW w:w="367" w:type="dxa"/>
            <w:noWrap w:val="0"/>
            <w:vAlign w:val="top"/>
          </w:tcPr>
          <w:p w14:paraId="0B2A404A">
            <w:pPr>
              <w:spacing w:line="280" w:lineRule="exact"/>
              <w:rPr>
                <w:rFonts w:hint="eastAsia" w:ascii="宋体" w:hAnsi="宋体" w:cs="宋体"/>
                <w:b/>
                <w:szCs w:val="21"/>
              </w:rPr>
            </w:pPr>
          </w:p>
        </w:tc>
        <w:tc>
          <w:tcPr>
            <w:tcW w:w="368" w:type="dxa"/>
            <w:noWrap w:val="0"/>
            <w:vAlign w:val="top"/>
          </w:tcPr>
          <w:p w14:paraId="41C2B230">
            <w:pPr>
              <w:spacing w:line="280" w:lineRule="exact"/>
              <w:rPr>
                <w:rFonts w:hint="eastAsia" w:ascii="宋体" w:hAnsi="宋体" w:cs="宋体"/>
                <w:b/>
                <w:szCs w:val="21"/>
              </w:rPr>
            </w:pPr>
          </w:p>
        </w:tc>
        <w:tc>
          <w:tcPr>
            <w:tcW w:w="435" w:type="dxa"/>
            <w:noWrap w:val="0"/>
            <w:vAlign w:val="top"/>
          </w:tcPr>
          <w:p w14:paraId="3BC8C578">
            <w:pPr>
              <w:spacing w:line="280" w:lineRule="exact"/>
              <w:rPr>
                <w:rFonts w:hint="eastAsia" w:ascii="宋体" w:hAnsi="宋体" w:cs="宋体"/>
                <w:b/>
                <w:szCs w:val="21"/>
              </w:rPr>
            </w:pPr>
          </w:p>
        </w:tc>
        <w:tc>
          <w:tcPr>
            <w:tcW w:w="390" w:type="dxa"/>
            <w:noWrap w:val="0"/>
            <w:vAlign w:val="top"/>
          </w:tcPr>
          <w:p w14:paraId="40A9DEDE">
            <w:pPr>
              <w:spacing w:line="280" w:lineRule="exact"/>
              <w:rPr>
                <w:rFonts w:hint="eastAsia" w:ascii="宋体" w:hAnsi="宋体" w:cs="宋体"/>
                <w:b/>
                <w:szCs w:val="21"/>
              </w:rPr>
            </w:pPr>
          </w:p>
        </w:tc>
        <w:tc>
          <w:tcPr>
            <w:tcW w:w="427" w:type="dxa"/>
            <w:noWrap w:val="0"/>
            <w:vAlign w:val="top"/>
          </w:tcPr>
          <w:p w14:paraId="76F04AED">
            <w:pPr>
              <w:spacing w:line="280" w:lineRule="exact"/>
              <w:rPr>
                <w:rFonts w:hint="eastAsia" w:ascii="宋体" w:hAnsi="宋体" w:cs="宋体"/>
                <w:b/>
                <w:szCs w:val="21"/>
              </w:rPr>
            </w:pPr>
          </w:p>
        </w:tc>
        <w:tc>
          <w:tcPr>
            <w:tcW w:w="315" w:type="dxa"/>
            <w:noWrap w:val="0"/>
            <w:vAlign w:val="top"/>
          </w:tcPr>
          <w:p w14:paraId="757DC5A3">
            <w:pPr>
              <w:spacing w:line="280" w:lineRule="exact"/>
              <w:rPr>
                <w:rFonts w:hint="eastAsia" w:ascii="宋体" w:hAnsi="宋体" w:cs="宋体"/>
                <w:b/>
                <w:szCs w:val="21"/>
              </w:rPr>
            </w:pPr>
          </w:p>
        </w:tc>
        <w:tc>
          <w:tcPr>
            <w:tcW w:w="628" w:type="dxa"/>
            <w:noWrap w:val="0"/>
            <w:vAlign w:val="top"/>
          </w:tcPr>
          <w:p w14:paraId="72033268">
            <w:pPr>
              <w:spacing w:line="280" w:lineRule="exact"/>
              <w:rPr>
                <w:rFonts w:hint="eastAsia" w:ascii="宋体" w:hAnsi="宋体" w:cs="宋体"/>
                <w:b/>
                <w:szCs w:val="21"/>
              </w:rPr>
            </w:pPr>
          </w:p>
        </w:tc>
      </w:tr>
      <w:tr w14:paraId="5DE4A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47" w:type="dxa"/>
            <w:noWrap w:val="0"/>
            <w:vAlign w:val="center"/>
          </w:tcPr>
          <w:p w14:paraId="10E5123C">
            <w:pPr>
              <w:spacing w:line="280" w:lineRule="exact"/>
              <w:jc w:val="center"/>
              <w:rPr>
                <w:rFonts w:hint="eastAsia" w:ascii="宋体" w:hAnsi="宋体" w:cs="宋体"/>
              </w:rPr>
            </w:pPr>
            <w:r>
              <w:rPr>
                <w:rFonts w:hint="eastAsia" w:ascii="宋体" w:hAnsi="宋体" w:cs="宋体"/>
              </w:rPr>
              <w:t>4</w:t>
            </w:r>
          </w:p>
        </w:tc>
        <w:tc>
          <w:tcPr>
            <w:tcW w:w="3472" w:type="dxa"/>
            <w:gridSpan w:val="2"/>
            <w:noWrap w:val="0"/>
            <w:vAlign w:val="center"/>
          </w:tcPr>
          <w:p w14:paraId="0970CBBF">
            <w:pPr>
              <w:spacing w:line="280" w:lineRule="exact"/>
              <w:rPr>
                <w:rFonts w:hint="eastAsia" w:ascii="宋体" w:hAnsi="宋体" w:cs="宋体"/>
                <w:szCs w:val="21"/>
              </w:rPr>
            </w:pPr>
            <w:r>
              <w:rPr>
                <w:rFonts w:hint="eastAsia" w:ascii="宋体" w:hAnsi="宋体" w:cs="宋体"/>
                <w:szCs w:val="21"/>
              </w:rPr>
              <w:t>各项节能措施落实到位，报修渠道畅通，维修处理及时，无长流水、长明灯、无浪费</w:t>
            </w:r>
          </w:p>
        </w:tc>
        <w:tc>
          <w:tcPr>
            <w:tcW w:w="443" w:type="dxa"/>
            <w:noWrap w:val="0"/>
            <w:vAlign w:val="top"/>
          </w:tcPr>
          <w:p w14:paraId="073EC5B4">
            <w:pPr>
              <w:spacing w:line="280" w:lineRule="exact"/>
              <w:rPr>
                <w:rFonts w:hint="eastAsia" w:ascii="宋体" w:hAnsi="宋体" w:cs="宋体"/>
                <w:b/>
                <w:szCs w:val="21"/>
              </w:rPr>
            </w:pPr>
          </w:p>
        </w:tc>
        <w:tc>
          <w:tcPr>
            <w:tcW w:w="307" w:type="dxa"/>
            <w:noWrap w:val="0"/>
            <w:vAlign w:val="top"/>
          </w:tcPr>
          <w:p w14:paraId="1C9FA825">
            <w:pPr>
              <w:spacing w:line="280" w:lineRule="exact"/>
              <w:rPr>
                <w:rFonts w:hint="eastAsia" w:ascii="宋体" w:hAnsi="宋体" w:cs="宋体"/>
                <w:b/>
                <w:szCs w:val="21"/>
              </w:rPr>
            </w:pPr>
          </w:p>
        </w:tc>
        <w:tc>
          <w:tcPr>
            <w:tcW w:w="345" w:type="dxa"/>
            <w:noWrap w:val="0"/>
            <w:vAlign w:val="top"/>
          </w:tcPr>
          <w:p w14:paraId="315D9CE5">
            <w:pPr>
              <w:spacing w:line="280" w:lineRule="exact"/>
              <w:rPr>
                <w:rFonts w:hint="eastAsia" w:ascii="宋体" w:hAnsi="宋体" w:cs="宋体"/>
                <w:b/>
                <w:szCs w:val="21"/>
              </w:rPr>
            </w:pPr>
          </w:p>
        </w:tc>
        <w:tc>
          <w:tcPr>
            <w:tcW w:w="338" w:type="dxa"/>
            <w:noWrap w:val="0"/>
            <w:vAlign w:val="top"/>
          </w:tcPr>
          <w:p w14:paraId="7A92E092">
            <w:pPr>
              <w:spacing w:line="280" w:lineRule="exact"/>
              <w:rPr>
                <w:rFonts w:hint="eastAsia" w:ascii="宋体" w:hAnsi="宋体" w:cs="宋体"/>
                <w:b/>
                <w:szCs w:val="21"/>
              </w:rPr>
            </w:pPr>
          </w:p>
        </w:tc>
        <w:tc>
          <w:tcPr>
            <w:tcW w:w="367" w:type="dxa"/>
            <w:noWrap w:val="0"/>
            <w:vAlign w:val="top"/>
          </w:tcPr>
          <w:p w14:paraId="2F1F39F0">
            <w:pPr>
              <w:spacing w:line="280" w:lineRule="exact"/>
              <w:rPr>
                <w:rFonts w:hint="eastAsia" w:ascii="宋体" w:hAnsi="宋体" w:cs="宋体"/>
                <w:b/>
                <w:szCs w:val="21"/>
              </w:rPr>
            </w:pPr>
          </w:p>
        </w:tc>
        <w:tc>
          <w:tcPr>
            <w:tcW w:w="368" w:type="dxa"/>
            <w:noWrap w:val="0"/>
            <w:vAlign w:val="top"/>
          </w:tcPr>
          <w:p w14:paraId="5DA7382C">
            <w:pPr>
              <w:spacing w:line="280" w:lineRule="exact"/>
              <w:rPr>
                <w:rFonts w:hint="eastAsia" w:ascii="宋体" w:hAnsi="宋体" w:cs="宋体"/>
                <w:b/>
                <w:szCs w:val="21"/>
              </w:rPr>
            </w:pPr>
          </w:p>
        </w:tc>
        <w:tc>
          <w:tcPr>
            <w:tcW w:w="435" w:type="dxa"/>
            <w:noWrap w:val="0"/>
            <w:vAlign w:val="top"/>
          </w:tcPr>
          <w:p w14:paraId="24B1B0DF">
            <w:pPr>
              <w:spacing w:line="280" w:lineRule="exact"/>
              <w:rPr>
                <w:rFonts w:hint="eastAsia" w:ascii="宋体" w:hAnsi="宋体" w:cs="宋体"/>
                <w:b/>
                <w:szCs w:val="21"/>
              </w:rPr>
            </w:pPr>
          </w:p>
        </w:tc>
        <w:tc>
          <w:tcPr>
            <w:tcW w:w="390" w:type="dxa"/>
            <w:noWrap w:val="0"/>
            <w:vAlign w:val="top"/>
          </w:tcPr>
          <w:p w14:paraId="72B93E38">
            <w:pPr>
              <w:spacing w:line="280" w:lineRule="exact"/>
              <w:rPr>
                <w:rFonts w:hint="eastAsia" w:ascii="宋体" w:hAnsi="宋体" w:cs="宋体"/>
                <w:b/>
                <w:szCs w:val="21"/>
              </w:rPr>
            </w:pPr>
          </w:p>
        </w:tc>
        <w:tc>
          <w:tcPr>
            <w:tcW w:w="427" w:type="dxa"/>
            <w:noWrap w:val="0"/>
            <w:vAlign w:val="top"/>
          </w:tcPr>
          <w:p w14:paraId="75EED934">
            <w:pPr>
              <w:spacing w:line="280" w:lineRule="exact"/>
              <w:rPr>
                <w:rFonts w:hint="eastAsia" w:ascii="宋体" w:hAnsi="宋体" w:cs="宋体"/>
                <w:b/>
                <w:szCs w:val="21"/>
              </w:rPr>
            </w:pPr>
          </w:p>
        </w:tc>
        <w:tc>
          <w:tcPr>
            <w:tcW w:w="315" w:type="dxa"/>
            <w:noWrap w:val="0"/>
            <w:vAlign w:val="top"/>
          </w:tcPr>
          <w:p w14:paraId="190EEAB3">
            <w:pPr>
              <w:spacing w:line="280" w:lineRule="exact"/>
              <w:rPr>
                <w:rFonts w:hint="eastAsia" w:ascii="宋体" w:hAnsi="宋体" w:cs="宋体"/>
                <w:b/>
                <w:szCs w:val="21"/>
              </w:rPr>
            </w:pPr>
          </w:p>
        </w:tc>
        <w:tc>
          <w:tcPr>
            <w:tcW w:w="628" w:type="dxa"/>
            <w:noWrap w:val="0"/>
            <w:vAlign w:val="top"/>
          </w:tcPr>
          <w:p w14:paraId="1060E191">
            <w:pPr>
              <w:spacing w:line="280" w:lineRule="exact"/>
              <w:rPr>
                <w:rFonts w:hint="eastAsia" w:ascii="宋体" w:hAnsi="宋体" w:cs="宋体"/>
                <w:b/>
                <w:szCs w:val="21"/>
              </w:rPr>
            </w:pPr>
          </w:p>
        </w:tc>
      </w:tr>
      <w:tr w14:paraId="7D835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47" w:type="dxa"/>
            <w:noWrap w:val="0"/>
            <w:vAlign w:val="center"/>
          </w:tcPr>
          <w:p w14:paraId="6915D2FE">
            <w:pPr>
              <w:spacing w:line="280" w:lineRule="exact"/>
              <w:jc w:val="center"/>
              <w:rPr>
                <w:rFonts w:hint="eastAsia" w:ascii="宋体" w:hAnsi="宋体" w:cs="宋体"/>
              </w:rPr>
            </w:pPr>
            <w:r>
              <w:rPr>
                <w:rFonts w:hint="eastAsia" w:ascii="宋体" w:hAnsi="宋体" w:cs="宋体"/>
              </w:rPr>
              <w:t>5</w:t>
            </w:r>
          </w:p>
        </w:tc>
        <w:tc>
          <w:tcPr>
            <w:tcW w:w="3472" w:type="dxa"/>
            <w:gridSpan w:val="2"/>
            <w:noWrap w:val="0"/>
            <w:vAlign w:val="center"/>
          </w:tcPr>
          <w:p w14:paraId="6C571AE3">
            <w:pPr>
              <w:spacing w:line="280" w:lineRule="exact"/>
              <w:rPr>
                <w:rFonts w:hint="eastAsia" w:ascii="宋体" w:hAnsi="宋体" w:cs="宋体"/>
                <w:szCs w:val="21"/>
              </w:rPr>
            </w:pPr>
            <w:r>
              <w:rPr>
                <w:rFonts w:hint="eastAsia" w:ascii="宋体" w:hAnsi="宋体" w:cs="宋体"/>
                <w:szCs w:val="21"/>
              </w:rPr>
              <w:t>卫生保洁及时，卫生间无异味，垃圾定点封闭存放，每日按时收集清运，桶内垃圾无外溢，且保持外壁清洁</w:t>
            </w:r>
          </w:p>
        </w:tc>
        <w:tc>
          <w:tcPr>
            <w:tcW w:w="443" w:type="dxa"/>
            <w:noWrap w:val="0"/>
            <w:vAlign w:val="top"/>
          </w:tcPr>
          <w:p w14:paraId="50B71329">
            <w:pPr>
              <w:spacing w:line="280" w:lineRule="exact"/>
              <w:rPr>
                <w:rFonts w:hint="eastAsia" w:ascii="宋体" w:hAnsi="宋体" w:cs="宋体"/>
                <w:b/>
                <w:szCs w:val="21"/>
              </w:rPr>
            </w:pPr>
          </w:p>
        </w:tc>
        <w:tc>
          <w:tcPr>
            <w:tcW w:w="307" w:type="dxa"/>
            <w:noWrap w:val="0"/>
            <w:vAlign w:val="top"/>
          </w:tcPr>
          <w:p w14:paraId="70ED5518">
            <w:pPr>
              <w:spacing w:line="280" w:lineRule="exact"/>
              <w:rPr>
                <w:rFonts w:hint="eastAsia" w:ascii="宋体" w:hAnsi="宋体" w:cs="宋体"/>
                <w:b/>
                <w:szCs w:val="21"/>
              </w:rPr>
            </w:pPr>
          </w:p>
        </w:tc>
        <w:tc>
          <w:tcPr>
            <w:tcW w:w="345" w:type="dxa"/>
            <w:noWrap w:val="0"/>
            <w:vAlign w:val="top"/>
          </w:tcPr>
          <w:p w14:paraId="6E6854F6">
            <w:pPr>
              <w:spacing w:line="280" w:lineRule="exact"/>
              <w:rPr>
                <w:rFonts w:hint="eastAsia" w:ascii="宋体" w:hAnsi="宋体" w:cs="宋体"/>
                <w:b/>
                <w:szCs w:val="21"/>
              </w:rPr>
            </w:pPr>
          </w:p>
        </w:tc>
        <w:tc>
          <w:tcPr>
            <w:tcW w:w="338" w:type="dxa"/>
            <w:noWrap w:val="0"/>
            <w:vAlign w:val="top"/>
          </w:tcPr>
          <w:p w14:paraId="6599F533">
            <w:pPr>
              <w:spacing w:line="280" w:lineRule="exact"/>
              <w:rPr>
                <w:rFonts w:hint="eastAsia" w:ascii="宋体" w:hAnsi="宋体" w:cs="宋体"/>
                <w:b/>
                <w:szCs w:val="21"/>
              </w:rPr>
            </w:pPr>
          </w:p>
        </w:tc>
        <w:tc>
          <w:tcPr>
            <w:tcW w:w="367" w:type="dxa"/>
            <w:noWrap w:val="0"/>
            <w:vAlign w:val="top"/>
          </w:tcPr>
          <w:p w14:paraId="66EE0B85">
            <w:pPr>
              <w:spacing w:line="280" w:lineRule="exact"/>
              <w:rPr>
                <w:rFonts w:hint="eastAsia" w:ascii="宋体" w:hAnsi="宋体" w:cs="宋体"/>
                <w:b/>
                <w:szCs w:val="21"/>
              </w:rPr>
            </w:pPr>
          </w:p>
        </w:tc>
        <w:tc>
          <w:tcPr>
            <w:tcW w:w="368" w:type="dxa"/>
            <w:noWrap w:val="0"/>
            <w:vAlign w:val="top"/>
          </w:tcPr>
          <w:p w14:paraId="1BE960DF">
            <w:pPr>
              <w:spacing w:line="280" w:lineRule="exact"/>
              <w:rPr>
                <w:rFonts w:hint="eastAsia" w:ascii="宋体" w:hAnsi="宋体" w:cs="宋体"/>
                <w:b/>
                <w:szCs w:val="21"/>
              </w:rPr>
            </w:pPr>
          </w:p>
        </w:tc>
        <w:tc>
          <w:tcPr>
            <w:tcW w:w="435" w:type="dxa"/>
            <w:noWrap w:val="0"/>
            <w:vAlign w:val="top"/>
          </w:tcPr>
          <w:p w14:paraId="170CB8D6">
            <w:pPr>
              <w:spacing w:line="280" w:lineRule="exact"/>
              <w:rPr>
                <w:rFonts w:hint="eastAsia" w:ascii="宋体" w:hAnsi="宋体" w:cs="宋体"/>
                <w:b/>
                <w:szCs w:val="21"/>
              </w:rPr>
            </w:pPr>
          </w:p>
        </w:tc>
        <w:tc>
          <w:tcPr>
            <w:tcW w:w="390" w:type="dxa"/>
            <w:noWrap w:val="0"/>
            <w:vAlign w:val="top"/>
          </w:tcPr>
          <w:p w14:paraId="55CFE9C1">
            <w:pPr>
              <w:spacing w:line="280" w:lineRule="exact"/>
              <w:rPr>
                <w:rFonts w:hint="eastAsia" w:ascii="宋体" w:hAnsi="宋体" w:cs="宋体"/>
                <w:b/>
                <w:szCs w:val="21"/>
              </w:rPr>
            </w:pPr>
          </w:p>
        </w:tc>
        <w:tc>
          <w:tcPr>
            <w:tcW w:w="427" w:type="dxa"/>
            <w:noWrap w:val="0"/>
            <w:vAlign w:val="top"/>
          </w:tcPr>
          <w:p w14:paraId="16DAB57A">
            <w:pPr>
              <w:spacing w:line="280" w:lineRule="exact"/>
              <w:rPr>
                <w:rFonts w:hint="eastAsia" w:ascii="宋体" w:hAnsi="宋体" w:cs="宋体"/>
                <w:b/>
                <w:szCs w:val="21"/>
              </w:rPr>
            </w:pPr>
          </w:p>
        </w:tc>
        <w:tc>
          <w:tcPr>
            <w:tcW w:w="315" w:type="dxa"/>
            <w:noWrap w:val="0"/>
            <w:vAlign w:val="top"/>
          </w:tcPr>
          <w:p w14:paraId="0A2CFBEA">
            <w:pPr>
              <w:spacing w:line="280" w:lineRule="exact"/>
              <w:rPr>
                <w:rFonts w:hint="eastAsia" w:ascii="宋体" w:hAnsi="宋体" w:cs="宋体"/>
                <w:b/>
                <w:szCs w:val="21"/>
              </w:rPr>
            </w:pPr>
          </w:p>
        </w:tc>
        <w:tc>
          <w:tcPr>
            <w:tcW w:w="628" w:type="dxa"/>
            <w:noWrap w:val="0"/>
            <w:vAlign w:val="top"/>
          </w:tcPr>
          <w:p w14:paraId="5A653A04">
            <w:pPr>
              <w:spacing w:line="280" w:lineRule="exact"/>
              <w:rPr>
                <w:rFonts w:hint="eastAsia" w:ascii="宋体" w:hAnsi="宋体" w:cs="宋体"/>
                <w:b/>
                <w:szCs w:val="21"/>
              </w:rPr>
            </w:pPr>
          </w:p>
        </w:tc>
      </w:tr>
      <w:tr w14:paraId="419CD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47" w:type="dxa"/>
            <w:noWrap w:val="0"/>
            <w:vAlign w:val="center"/>
          </w:tcPr>
          <w:p w14:paraId="1168D400">
            <w:pPr>
              <w:spacing w:line="280" w:lineRule="exact"/>
              <w:jc w:val="center"/>
              <w:rPr>
                <w:rFonts w:hint="eastAsia" w:ascii="宋体" w:hAnsi="宋体" w:cs="宋体"/>
              </w:rPr>
            </w:pPr>
            <w:r>
              <w:rPr>
                <w:rFonts w:hint="eastAsia" w:ascii="宋体" w:hAnsi="宋体" w:cs="宋体"/>
              </w:rPr>
              <w:t>6</w:t>
            </w:r>
          </w:p>
        </w:tc>
        <w:tc>
          <w:tcPr>
            <w:tcW w:w="3472" w:type="dxa"/>
            <w:gridSpan w:val="2"/>
            <w:noWrap w:val="0"/>
            <w:vAlign w:val="center"/>
          </w:tcPr>
          <w:p w14:paraId="3AC9461A">
            <w:pPr>
              <w:spacing w:line="280" w:lineRule="exact"/>
              <w:rPr>
                <w:rFonts w:hint="eastAsia" w:ascii="宋体" w:hAnsi="宋体" w:cs="宋体"/>
                <w:szCs w:val="21"/>
              </w:rPr>
            </w:pPr>
            <w:r>
              <w:rPr>
                <w:rFonts w:hint="eastAsia" w:ascii="宋体" w:hAnsi="宋体" w:cs="宋体"/>
                <w:szCs w:val="21"/>
              </w:rPr>
              <w:t>绿化养护规范，绿化外形美观、长势良好、除杂及时</w:t>
            </w:r>
          </w:p>
        </w:tc>
        <w:tc>
          <w:tcPr>
            <w:tcW w:w="443" w:type="dxa"/>
            <w:noWrap w:val="0"/>
            <w:vAlign w:val="top"/>
          </w:tcPr>
          <w:p w14:paraId="33BAE10C">
            <w:pPr>
              <w:spacing w:line="280" w:lineRule="exact"/>
              <w:rPr>
                <w:rFonts w:hint="eastAsia" w:ascii="宋体" w:hAnsi="宋体" w:cs="宋体"/>
                <w:b/>
                <w:szCs w:val="21"/>
              </w:rPr>
            </w:pPr>
          </w:p>
        </w:tc>
        <w:tc>
          <w:tcPr>
            <w:tcW w:w="307" w:type="dxa"/>
            <w:noWrap w:val="0"/>
            <w:vAlign w:val="top"/>
          </w:tcPr>
          <w:p w14:paraId="46DA088F">
            <w:pPr>
              <w:spacing w:line="280" w:lineRule="exact"/>
              <w:rPr>
                <w:rFonts w:hint="eastAsia" w:ascii="宋体" w:hAnsi="宋体" w:cs="宋体"/>
                <w:b/>
                <w:szCs w:val="21"/>
              </w:rPr>
            </w:pPr>
          </w:p>
        </w:tc>
        <w:tc>
          <w:tcPr>
            <w:tcW w:w="345" w:type="dxa"/>
            <w:noWrap w:val="0"/>
            <w:vAlign w:val="top"/>
          </w:tcPr>
          <w:p w14:paraId="00F0F24C">
            <w:pPr>
              <w:spacing w:line="280" w:lineRule="exact"/>
              <w:rPr>
                <w:rFonts w:hint="eastAsia" w:ascii="宋体" w:hAnsi="宋体" w:cs="宋体"/>
                <w:b/>
                <w:szCs w:val="21"/>
              </w:rPr>
            </w:pPr>
          </w:p>
        </w:tc>
        <w:tc>
          <w:tcPr>
            <w:tcW w:w="338" w:type="dxa"/>
            <w:noWrap w:val="0"/>
            <w:vAlign w:val="top"/>
          </w:tcPr>
          <w:p w14:paraId="1ADE20E5">
            <w:pPr>
              <w:spacing w:line="280" w:lineRule="exact"/>
              <w:rPr>
                <w:rFonts w:hint="eastAsia" w:ascii="宋体" w:hAnsi="宋体" w:cs="宋体"/>
                <w:b/>
                <w:szCs w:val="21"/>
              </w:rPr>
            </w:pPr>
          </w:p>
        </w:tc>
        <w:tc>
          <w:tcPr>
            <w:tcW w:w="367" w:type="dxa"/>
            <w:noWrap w:val="0"/>
            <w:vAlign w:val="top"/>
          </w:tcPr>
          <w:p w14:paraId="4CEF8FE7">
            <w:pPr>
              <w:spacing w:line="280" w:lineRule="exact"/>
              <w:rPr>
                <w:rFonts w:hint="eastAsia" w:ascii="宋体" w:hAnsi="宋体" w:cs="宋体"/>
                <w:b/>
                <w:szCs w:val="21"/>
              </w:rPr>
            </w:pPr>
          </w:p>
        </w:tc>
        <w:tc>
          <w:tcPr>
            <w:tcW w:w="368" w:type="dxa"/>
            <w:noWrap w:val="0"/>
            <w:vAlign w:val="top"/>
          </w:tcPr>
          <w:p w14:paraId="0416B27F">
            <w:pPr>
              <w:spacing w:line="280" w:lineRule="exact"/>
              <w:rPr>
                <w:rFonts w:hint="eastAsia" w:ascii="宋体" w:hAnsi="宋体" w:cs="宋体"/>
                <w:b/>
                <w:szCs w:val="21"/>
              </w:rPr>
            </w:pPr>
          </w:p>
        </w:tc>
        <w:tc>
          <w:tcPr>
            <w:tcW w:w="435" w:type="dxa"/>
            <w:noWrap w:val="0"/>
            <w:vAlign w:val="top"/>
          </w:tcPr>
          <w:p w14:paraId="55ABB298">
            <w:pPr>
              <w:spacing w:line="280" w:lineRule="exact"/>
              <w:rPr>
                <w:rFonts w:hint="eastAsia" w:ascii="宋体" w:hAnsi="宋体" w:cs="宋体"/>
                <w:b/>
                <w:szCs w:val="21"/>
              </w:rPr>
            </w:pPr>
          </w:p>
        </w:tc>
        <w:tc>
          <w:tcPr>
            <w:tcW w:w="390" w:type="dxa"/>
            <w:noWrap w:val="0"/>
            <w:vAlign w:val="top"/>
          </w:tcPr>
          <w:p w14:paraId="5EB25517">
            <w:pPr>
              <w:spacing w:line="280" w:lineRule="exact"/>
              <w:rPr>
                <w:rFonts w:hint="eastAsia" w:ascii="宋体" w:hAnsi="宋体" w:cs="宋体"/>
                <w:b/>
                <w:szCs w:val="21"/>
              </w:rPr>
            </w:pPr>
          </w:p>
        </w:tc>
        <w:tc>
          <w:tcPr>
            <w:tcW w:w="427" w:type="dxa"/>
            <w:noWrap w:val="0"/>
            <w:vAlign w:val="top"/>
          </w:tcPr>
          <w:p w14:paraId="00A3D3A4">
            <w:pPr>
              <w:spacing w:line="280" w:lineRule="exact"/>
              <w:rPr>
                <w:rFonts w:hint="eastAsia" w:ascii="宋体" w:hAnsi="宋体" w:cs="宋体"/>
                <w:b/>
                <w:szCs w:val="21"/>
              </w:rPr>
            </w:pPr>
          </w:p>
        </w:tc>
        <w:tc>
          <w:tcPr>
            <w:tcW w:w="315" w:type="dxa"/>
            <w:noWrap w:val="0"/>
            <w:vAlign w:val="top"/>
          </w:tcPr>
          <w:p w14:paraId="2B8FA6F2">
            <w:pPr>
              <w:spacing w:line="280" w:lineRule="exact"/>
              <w:rPr>
                <w:rFonts w:hint="eastAsia" w:ascii="宋体" w:hAnsi="宋体" w:cs="宋体"/>
                <w:b/>
                <w:szCs w:val="21"/>
              </w:rPr>
            </w:pPr>
          </w:p>
        </w:tc>
        <w:tc>
          <w:tcPr>
            <w:tcW w:w="628" w:type="dxa"/>
            <w:noWrap w:val="0"/>
            <w:vAlign w:val="top"/>
          </w:tcPr>
          <w:p w14:paraId="0777C10D">
            <w:pPr>
              <w:spacing w:line="280" w:lineRule="exact"/>
              <w:rPr>
                <w:rFonts w:hint="eastAsia" w:ascii="宋体" w:hAnsi="宋体" w:cs="宋体"/>
                <w:b/>
                <w:szCs w:val="21"/>
              </w:rPr>
            </w:pPr>
          </w:p>
        </w:tc>
      </w:tr>
      <w:tr w14:paraId="4A1A3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47" w:type="dxa"/>
            <w:noWrap w:val="0"/>
            <w:vAlign w:val="center"/>
          </w:tcPr>
          <w:p w14:paraId="1490718F">
            <w:pPr>
              <w:spacing w:line="280" w:lineRule="exact"/>
              <w:jc w:val="center"/>
              <w:rPr>
                <w:rFonts w:hint="eastAsia" w:ascii="宋体" w:hAnsi="宋体" w:cs="宋体"/>
              </w:rPr>
            </w:pPr>
            <w:r>
              <w:rPr>
                <w:rFonts w:hint="eastAsia" w:ascii="宋体" w:hAnsi="宋体" w:cs="宋体"/>
              </w:rPr>
              <w:t>7</w:t>
            </w:r>
          </w:p>
        </w:tc>
        <w:tc>
          <w:tcPr>
            <w:tcW w:w="3472" w:type="dxa"/>
            <w:gridSpan w:val="2"/>
            <w:noWrap w:val="0"/>
            <w:vAlign w:val="center"/>
          </w:tcPr>
          <w:p w14:paraId="70AB882A">
            <w:pPr>
              <w:spacing w:line="280" w:lineRule="exact"/>
              <w:rPr>
                <w:rFonts w:hint="eastAsia" w:ascii="宋体" w:hAnsi="宋体" w:cs="宋体"/>
                <w:szCs w:val="21"/>
              </w:rPr>
            </w:pPr>
            <w:r>
              <w:rPr>
                <w:rFonts w:hint="eastAsia" w:ascii="宋体" w:hAnsi="宋体" w:cs="宋体"/>
                <w:szCs w:val="21"/>
              </w:rPr>
              <w:t>电动车、自行车等各种车辆摆放整齐，无乱停乱放现象</w:t>
            </w:r>
          </w:p>
        </w:tc>
        <w:tc>
          <w:tcPr>
            <w:tcW w:w="443" w:type="dxa"/>
            <w:noWrap w:val="0"/>
            <w:vAlign w:val="top"/>
          </w:tcPr>
          <w:p w14:paraId="681225ED">
            <w:pPr>
              <w:spacing w:line="280" w:lineRule="exact"/>
              <w:rPr>
                <w:rFonts w:hint="eastAsia" w:ascii="宋体" w:hAnsi="宋体" w:cs="宋体"/>
                <w:b/>
                <w:szCs w:val="21"/>
              </w:rPr>
            </w:pPr>
          </w:p>
        </w:tc>
        <w:tc>
          <w:tcPr>
            <w:tcW w:w="307" w:type="dxa"/>
            <w:noWrap w:val="0"/>
            <w:vAlign w:val="top"/>
          </w:tcPr>
          <w:p w14:paraId="05C1B0F3">
            <w:pPr>
              <w:spacing w:line="280" w:lineRule="exact"/>
              <w:rPr>
                <w:rFonts w:hint="eastAsia" w:ascii="宋体" w:hAnsi="宋体" w:cs="宋体"/>
                <w:b/>
                <w:szCs w:val="21"/>
              </w:rPr>
            </w:pPr>
          </w:p>
        </w:tc>
        <w:tc>
          <w:tcPr>
            <w:tcW w:w="345" w:type="dxa"/>
            <w:noWrap w:val="0"/>
            <w:vAlign w:val="top"/>
          </w:tcPr>
          <w:p w14:paraId="3F03BAE6">
            <w:pPr>
              <w:spacing w:line="280" w:lineRule="exact"/>
              <w:rPr>
                <w:rFonts w:hint="eastAsia" w:ascii="宋体" w:hAnsi="宋体" w:cs="宋体"/>
                <w:b/>
                <w:szCs w:val="21"/>
              </w:rPr>
            </w:pPr>
          </w:p>
        </w:tc>
        <w:tc>
          <w:tcPr>
            <w:tcW w:w="338" w:type="dxa"/>
            <w:noWrap w:val="0"/>
            <w:vAlign w:val="top"/>
          </w:tcPr>
          <w:p w14:paraId="2746060C">
            <w:pPr>
              <w:spacing w:line="280" w:lineRule="exact"/>
              <w:rPr>
                <w:rFonts w:hint="eastAsia" w:ascii="宋体" w:hAnsi="宋体" w:cs="宋体"/>
                <w:b/>
                <w:szCs w:val="21"/>
              </w:rPr>
            </w:pPr>
          </w:p>
        </w:tc>
        <w:tc>
          <w:tcPr>
            <w:tcW w:w="367" w:type="dxa"/>
            <w:noWrap w:val="0"/>
            <w:vAlign w:val="top"/>
          </w:tcPr>
          <w:p w14:paraId="72D37BBA">
            <w:pPr>
              <w:spacing w:line="280" w:lineRule="exact"/>
              <w:rPr>
                <w:rFonts w:hint="eastAsia" w:ascii="宋体" w:hAnsi="宋体" w:cs="宋体"/>
                <w:b/>
                <w:szCs w:val="21"/>
              </w:rPr>
            </w:pPr>
          </w:p>
        </w:tc>
        <w:tc>
          <w:tcPr>
            <w:tcW w:w="368" w:type="dxa"/>
            <w:noWrap w:val="0"/>
            <w:vAlign w:val="top"/>
          </w:tcPr>
          <w:p w14:paraId="6D6B49A0">
            <w:pPr>
              <w:spacing w:line="280" w:lineRule="exact"/>
              <w:rPr>
                <w:rFonts w:hint="eastAsia" w:ascii="宋体" w:hAnsi="宋体" w:cs="宋体"/>
                <w:b/>
                <w:szCs w:val="21"/>
              </w:rPr>
            </w:pPr>
          </w:p>
        </w:tc>
        <w:tc>
          <w:tcPr>
            <w:tcW w:w="435" w:type="dxa"/>
            <w:noWrap w:val="0"/>
            <w:vAlign w:val="top"/>
          </w:tcPr>
          <w:p w14:paraId="196A02A8">
            <w:pPr>
              <w:spacing w:line="280" w:lineRule="exact"/>
              <w:rPr>
                <w:rFonts w:hint="eastAsia" w:ascii="宋体" w:hAnsi="宋体" w:cs="宋体"/>
                <w:b/>
                <w:szCs w:val="21"/>
              </w:rPr>
            </w:pPr>
          </w:p>
        </w:tc>
        <w:tc>
          <w:tcPr>
            <w:tcW w:w="390" w:type="dxa"/>
            <w:noWrap w:val="0"/>
            <w:vAlign w:val="top"/>
          </w:tcPr>
          <w:p w14:paraId="741FD596">
            <w:pPr>
              <w:spacing w:line="280" w:lineRule="exact"/>
              <w:rPr>
                <w:rFonts w:hint="eastAsia" w:ascii="宋体" w:hAnsi="宋体" w:cs="宋体"/>
                <w:b/>
                <w:szCs w:val="21"/>
              </w:rPr>
            </w:pPr>
          </w:p>
        </w:tc>
        <w:tc>
          <w:tcPr>
            <w:tcW w:w="427" w:type="dxa"/>
            <w:noWrap w:val="0"/>
            <w:vAlign w:val="top"/>
          </w:tcPr>
          <w:p w14:paraId="4B3550FF">
            <w:pPr>
              <w:spacing w:line="280" w:lineRule="exact"/>
              <w:rPr>
                <w:rFonts w:hint="eastAsia" w:ascii="宋体" w:hAnsi="宋体" w:cs="宋体"/>
                <w:b/>
                <w:szCs w:val="21"/>
              </w:rPr>
            </w:pPr>
          </w:p>
        </w:tc>
        <w:tc>
          <w:tcPr>
            <w:tcW w:w="315" w:type="dxa"/>
            <w:noWrap w:val="0"/>
            <w:vAlign w:val="top"/>
          </w:tcPr>
          <w:p w14:paraId="02EBD866">
            <w:pPr>
              <w:spacing w:line="280" w:lineRule="exact"/>
              <w:rPr>
                <w:rFonts w:hint="eastAsia" w:ascii="宋体" w:hAnsi="宋体" w:cs="宋体"/>
                <w:b/>
                <w:szCs w:val="21"/>
              </w:rPr>
            </w:pPr>
          </w:p>
        </w:tc>
        <w:tc>
          <w:tcPr>
            <w:tcW w:w="628" w:type="dxa"/>
            <w:noWrap w:val="0"/>
            <w:vAlign w:val="top"/>
          </w:tcPr>
          <w:p w14:paraId="22D3F714">
            <w:pPr>
              <w:spacing w:line="280" w:lineRule="exact"/>
              <w:rPr>
                <w:rFonts w:hint="eastAsia" w:ascii="宋体" w:hAnsi="宋体" w:cs="宋体"/>
                <w:b/>
                <w:szCs w:val="21"/>
              </w:rPr>
            </w:pPr>
          </w:p>
        </w:tc>
      </w:tr>
      <w:tr w14:paraId="24AB1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547" w:type="dxa"/>
            <w:noWrap w:val="0"/>
            <w:vAlign w:val="center"/>
          </w:tcPr>
          <w:p w14:paraId="2558AD71">
            <w:pPr>
              <w:spacing w:line="280" w:lineRule="exact"/>
              <w:jc w:val="center"/>
              <w:rPr>
                <w:rFonts w:hint="eastAsia" w:ascii="宋体" w:hAnsi="宋体" w:cs="宋体"/>
              </w:rPr>
            </w:pPr>
            <w:r>
              <w:rPr>
                <w:rFonts w:hint="eastAsia" w:ascii="宋体" w:hAnsi="宋体" w:cs="宋体"/>
              </w:rPr>
              <w:t>8</w:t>
            </w:r>
          </w:p>
        </w:tc>
        <w:tc>
          <w:tcPr>
            <w:tcW w:w="3472" w:type="dxa"/>
            <w:gridSpan w:val="2"/>
            <w:noWrap w:val="0"/>
            <w:vAlign w:val="center"/>
          </w:tcPr>
          <w:p w14:paraId="4C987F4E">
            <w:pPr>
              <w:spacing w:line="280" w:lineRule="exact"/>
              <w:rPr>
                <w:rFonts w:hint="eastAsia" w:ascii="宋体" w:hAnsi="宋体" w:cs="宋体"/>
                <w:szCs w:val="21"/>
              </w:rPr>
            </w:pPr>
            <w:r>
              <w:rPr>
                <w:rFonts w:hint="eastAsia" w:ascii="宋体" w:hAnsi="宋体" w:cs="宋体"/>
                <w:szCs w:val="21"/>
              </w:rPr>
              <w:t>定期开展杀虫灭鼠及消毒消杀工作</w:t>
            </w:r>
          </w:p>
        </w:tc>
        <w:tc>
          <w:tcPr>
            <w:tcW w:w="443" w:type="dxa"/>
            <w:noWrap w:val="0"/>
            <w:vAlign w:val="top"/>
          </w:tcPr>
          <w:p w14:paraId="12C1E6A1">
            <w:pPr>
              <w:spacing w:line="280" w:lineRule="exact"/>
              <w:rPr>
                <w:rFonts w:hint="eastAsia" w:ascii="宋体" w:hAnsi="宋体" w:cs="宋体"/>
                <w:b/>
                <w:szCs w:val="21"/>
              </w:rPr>
            </w:pPr>
          </w:p>
        </w:tc>
        <w:tc>
          <w:tcPr>
            <w:tcW w:w="307" w:type="dxa"/>
            <w:noWrap w:val="0"/>
            <w:vAlign w:val="top"/>
          </w:tcPr>
          <w:p w14:paraId="31B66003">
            <w:pPr>
              <w:spacing w:line="280" w:lineRule="exact"/>
              <w:rPr>
                <w:rFonts w:hint="eastAsia" w:ascii="宋体" w:hAnsi="宋体" w:cs="宋体"/>
                <w:b/>
                <w:szCs w:val="21"/>
              </w:rPr>
            </w:pPr>
          </w:p>
        </w:tc>
        <w:tc>
          <w:tcPr>
            <w:tcW w:w="345" w:type="dxa"/>
            <w:noWrap w:val="0"/>
            <w:vAlign w:val="top"/>
          </w:tcPr>
          <w:p w14:paraId="0FB21760">
            <w:pPr>
              <w:spacing w:line="280" w:lineRule="exact"/>
              <w:rPr>
                <w:rFonts w:hint="eastAsia" w:ascii="宋体" w:hAnsi="宋体" w:cs="宋体"/>
                <w:b/>
                <w:szCs w:val="21"/>
              </w:rPr>
            </w:pPr>
          </w:p>
        </w:tc>
        <w:tc>
          <w:tcPr>
            <w:tcW w:w="338" w:type="dxa"/>
            <w:noWrap w:val="0"/>
            <w:vAlign w:val="top"/>
          </w:tcPr>
          <w:p w14:paraId="222A5DAA">
            <w:pPr>
              <w:spacing w:line="280" w:lineRule="exact"/>
              <w:rPr>
                <w:rFonts w:hint="eastAsia" w:ascii="宋体" w:hAnsi="宋体" w:cs="宋体"/>
                <w:b/>
                <w:szCs w:val="21"/>
              </w:rPr>
            </w:pPr>
          </w:p>
        </w:tc>
        <w:tc>
          <w:tcPr>
            <w:tcW w:w="367" w:type="dxa"/>
            <w:noWrap w:val="0"/>
            <w:vAlign w:val="top"/>
          </w:tcPr>
          <w:p w14:paraId="0D0910DB">
            <w:pPr>
              <w:spacing w:line="280" w:lineRule="exact"/>
              <w:rPr>
                <w:rFonts w:hint="eastAsia" w:ascii="宋体" w:hAnsi="宋体" w:cs="宋体"/>
                <w:b/>
                <w:szCs w:val="21"/>
              </w:rPr>
            </w:pPr>
          </w:p>
        </w:tc>
        <w:tc>
          <w:tcPr>
            <w:tcW w:w="368" w:type="dxa"/>
            <w:noWrap w:val="0"/>
            <w:vAlign w:val="top"/>
          </w:tcPr>
          <w:p w14:paraId="716C009B">
            <w:pPr>
              <w:spacing w:line="280" w:lineRule="exact"/>
              <w:rPr>
                <w:rFonts w:hint="eastAsia" w:ascii="宋体" w:hAnsi="宋体" w:cs="宋体"/>
                <w:b/>
                <w:szCs w:val="21"/>
              </w:rPr>
            </w:pPr>
          </w:p>
        </w:tc>
        <w:tc>
          <w:tcPr>
            <w:tcW w:w="435" w:type="dxa"/>
            <w:noWrap w:val="0"/>
            <w:vAlign w:val="top"/>
          </w:tcPr>
          <w:p w14:paraId="6170FC40">
            <w:pPr>
              <w:spacing w:line="280" w:lineRule="exact"/>
              <w:rPr>
                <w:rFonts w:hint="eastAsia" w:ascii="宋体" w:hAnsi="宋体" w:cs="宋体"/>
                <w:b/>
                <w:szCs w:val="21"/>
              </w:rPr>
            </w:pPr>
          </w:p>
        </w:tc>
        <w:tc>
          <w:tcPr>
            <w:tcW w:w="390" w:type="dxa"/>
            <w:noWrap w:val="0"/>
            <w:vAlign w:val="top"/>
          </w:tcPr>
          <w:p w14:paraId="564DF85C">
            <w:pPr>
              <w:spacing w:line="280" w:lineRule="exact"/>
              <w:rPr>
                <w:rFonts w:hint="eastAsia" w:ascii="宋体" w:hAnsi="宋体" w:cs="宋体"/>
                <w:b/>
                <w:szCs w:val="21"/>
              </w:rPr>
            </w:pPr>
          </w:p>
        </w:tc>
        <w:tc>
          <w:tcPr>
            <w:tcW w:w="427" w:type="dxa"/>
            <w:noWrap w:val="0"/>
            <w:vAlign w:val="top"/>
          </w:tcPr>
          <w:p w14:paraId="20B2EC3D">
            <w:pPr>
              <w:spacing w:line="280" w:lineRule="exact"/>
              <w:rPr>
                <w:rFonts w:hint="eastAsia" w:ascii="宋体" w:hAnsi="宋体" w:cs="宋体"/>
                <w:b/>
                <w:szCs w:val="21"/>
              </w:rPr>
            </w:pPr>
          </w:p>
        </w:tc>
        <w:tc>
          <w:tcPr>
            <w:tcW w:w="315" w:type="dxa"/>
            <w:noWrap w:val="0"/>
            <w:vAlign w:val="top"/>
          </w:tcPr>
          <w:p w14:paraId="13EF29A3">
            <w:pPr>
              <w:spacing w:line="280" w:lineRule="exact"/>
              <w:rPr>
                <w:rFonts w:hint="eastAsia" w:ascii="宋体" w:hAnsi="宋体" w:cs="宋体"/>
                <w:b/>
                <w:szCs w:val="21"/>
              </w:rPr>
            </w:pPr>
          </w:p>
        </w:tc>
        <w:tc>
          <w:tcPr>
            <w:tcW w:w="628" w:type="dxa"/>
            <w:noWrap w:val="0"/>
            <w:vAlign w:val="top"/>
          </w:tcPr>
          <w:p w14:paraId="759063AA">
            <w:pPr>
              <w:spacing w:line="280" w:lineRule="exact"/>
              <w:rPr>
                <w:rFonts w:hint="eastAsia" w:ascii="宋体" w:hAnsi="宋体" w:cs="宋体"/>
                <w:b/>
                <w:szCs w:val="21"/>
              </w:rPr>
            </w:pPr>
          </w:p>
        </w:tc>
      </w:tr>
      <w:tr w14:paraId="161C9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47" w:type="dxa"/>
            <w:noWrap w:val="0"/>
            <w:vAlign w:val="center"/>
          </w:tcPr>
          <w:p w14:paraId="255BA43A">
            <w:pPr>
              <w:spacing w:line="280" w:lineRule="exact"/>
              <w:jc w:val="center"/>
              <w:rPr>
                <w:rFonts w:hint="eastAsia" w:ascii="宋体" w:hAnsi="宋体" w:cs="宋体"/>
              </w:rPr>
            </w:pPr>
            <w:r>
              <w:rPr>
                <w:rFonts w:hint="eastAsia" w:ascii="宋体" w:hAnsi="宋体" w:cs="宋体"/>
              </w:rPr>
              <w:t>9</w:t>
            </w:r>
          </w:p>
        </w:tc>
        <w:tc>
          <w:tcPr>
            <w:tcW w:w="3472" w:type="dxa"/>
            <w:gridSpan w:val="2"/>
            <w:noWrap w:val="0"/>
            <w:vAlign w:val="center"/>
          </w:tcPr>
          <w:p w14:paraId="0FA76B57">
            <w:pPr>
              <w:spacing w:line="280" w:lineRule="exact"/>
              <w:rPr>
                <w:rFonts w:hint="eastAsia" w:ascii="宋体" w:hAnsi="宋体" w:cs="宋体"/>
                <w:szCs w:val="21"/>
              </w:rPr>
            </w:pPr>
            <w:r>
              <w:rPr>
                <w:rFonts w:hint="eastAsia" w:ascii="宋体" w:hAnsi="宋体" w:cs="宋体"/>
                <w:szCs w:val="21"/>
              </w:rPr>
              <w:t>服从现场单位管理，按要求报送各类报表等，与其他单位的关系和谐融洽，注重与师生沟通和交流，能尽量满足物业服务要求</w:t>
            </w:r>
          </w:p>
        </w:tc>
        <w:tc>
          <w:tcPr>
            <w:tcW w:w="443" w:type="dxa"/>
            <w:noWrap w:val="0"/>
            <w:vAlign w:val="top"/>
          </w:tcPr>
          <w:p w14:paraId="0927702C">
            <w:pPr>
              <w:spacing w:line="280" w:lineRule="exact"/>
              <w:rPr>
                <w:rFonts w:hint="eastAsia" w:ascii="宋体" w:hAnsi="宋体" w:cs="宋体"/>
                <w:b/>
                <w:szCs w:val="21"/>
              </w:rPr>
            </w:pPr>
          </w:p>
        </w:tc>
        <w:tc>
          <w:tcPr>
            <w:tcW w:w="307" w:type="dxa"/>
            <w:noWrap w:val="0"/>
            <w:vAlign w:val="top"/>
          </w:tcPr>
          <w:p w14:paraId="39E608BD">
            <w:pPr>
              <w:spacing w:line="280" w:lineRule="exact"/>
              <w:rPr>
                <w:rFonts w:hint="eastAsia" w:ascii="宋体" w:hAnsi="宋体" w:cs="宋体"/>
                <w:b/>
                <w:szCs w:val="21"/>
              </w:rPr>
            </w:pPr>
          </w:p>
        </w:tc>
        <w:tc>
          <w:tcPr>
            <w:tcW w:w="345" w:type="dxa"/>
            <w:noWrap w:val="0"/>
            <w:vAlign w:val="top"/>
          </w:tcPr>
          <w:p w14:paraId="0743D512">
            <w:pPr>
              <w:spacing w:line="280" w:lineRule="exact"/>
              <w:rPr>
                <w:rFonts w:hint="eastAsia" w:ascii="宋体" w:hAnsi="宋体" w:cs="宋体"/>
                <w:b/>
                <w:szCs w:val="21"/>
              </w:rPr>
            </w:pPr>
          </w:p>
        </w:tc>
        <w:tc>
          <w:tcPr>
            <w:tcW w:w="338" w:type="dxa"/>
            <w:noWrap w:val="0"/>
            <w:vAlign w:val="top"/>
          </w:tcPr>
          <w:p w14:paraId="2B8C8928">
            <w:pPr>
              <w:spacing w:line="280" w:lineRule="exact"/>
              <w:rPr>
                <w:rFonts w:hint="eastAsia" w:ascii="宋体" w:hAnsi="宋体" w:cs="宋体"/>
                <w:b/>
                <w:szCs w:val="21"/>
              </w:rPr>
            </w:pPr>
          </w:p>
        </w:tc>
        <w:tc>
          <w:tcPr>
            <w:tcW w:w="367" w:type="dxa"/>
            <w:noWrap w:val="0"/>
            <w:vAlign w:val="top"/>
          </w:tcPr>
          <w:p w14:paraId="001BAF9D">
            <w:pPr>
              <w:spacing w:line="280" w:lineRule="exact"/>
              <w:rPr>
                <w:rFonts w:hint="eastAsia" w:ascii="宋体" w:hAnsi="宋体" w:cs="宋体"/>
                <w:b/>
                <w:szCs w:val="21"/>
              </w:rPr>
            </w:pPr>
          </w:p>
        </w:tc>
        <w:tc>
          <w:tcPr>
            <w:tcW w:w="368" w:type="dxa"/>
            <w:noWrap w:val="0"/>
            <w:vAlign w:val="top"/>
          </w:tcPr>
          <w:p w14:paraId="48FBB626">
            <w:pPr>
              <w:spacing w:line="280" w:lineRule="exact"/>
              <w:rPr>
                <w:rFonts w:hint="eastAsia" w:ascii="宋体" w:hAnsi="宋体" w:cs="宋体"/>
                <w:b/>
                <w:szCs w:val="21"/>
              </w:rPr>
            </w:pPr>
          </w:p>
        </w:tc>
        <w:tc>
          <w:tcPr>
            <w:tcW w:w="435" w:type="dxa"/>
            <w:noWrap w:val="0"/>
            <w:vAlign w:val="top"/>
          </w:tcPr>
          <w:p w14:paraId="216DCF70">
            <w:pPr>
              <w:spacing w:line="280" w:lineRule="exact"/>
              <w:rPr>
                <w:rFonts w:hint="eastAsia" w:ascii="宋体" w:hAnsi="宋体" w:cs="宋体"/>
                <w:b/>
                <w:szCs w:val="21"/>
              </w:rPr>
            </w:pPr>
          </w:p>
        </w:tc>
        <w:tc>
          <w:tcPr>
            <w:tcW w:w="390" w:type="dxa"/>
            <w:noWrap w:val="0"/>
            <w:vAlign w:val="top"/>
          </w:tcPr>
          <w:p w14:paraId="52F8F2DC">
            <w:pPr>
              <w:spacing w:line="280" w:lineRule="exact"/>
              <w:rPr>
                <w:rFonts w:hint="eastAsia" w:ascii="宋体" w:hAnsi="宋体" w:cs="宋体"/>
                <w:b/>
                <w:szCs w:val="21"/>
              </w:rPr>
            </w:pPr>
          </w:p>
        </w:tc>
        <w:tc>
          <w:tcPr>
            <w:tcW w:w="427" w:type="dxa"/>
            <w:noWrap w:val="0"/>
            <w:vAlign w:val="top"/>
          </w:tcPr>
          <w:p w14:paraId="022B2B58">
            <w:pPr>
              <w:spacing w:line="280" w:lineRule="exact"/>
              <w:rPr>
                <w:rFonts w:hint="eastAsia" w:ascii="宋体" w:hAnsi="宋体" w:cs="宋体"/>
                <w:b/>
                <w:szCs w:val="21"/>
              </w:rPr>
            </w:pPr>
          </w:p>
        </w:tc>
        <w:tc>
          <w:tcPr>
            <w:tcW w:w="315" w:type="dxa"/>
            <w:noWrap w:val="0"/>
            <w:vAlign w:val="top"/>
          </w:tcPr>
          <w:p w14:paraId="785987E0">
            <w:pPr>
              <w:spacing w:line="280" w:lineRule="exact"/>
              <w:rPr>
                <w:rFonts w:hint="eastAsia" w:ascii="宋体" w:hAnsi="宋体" w:cs="宋体"/>
                <w:b/>
                <w:szCs w:val="21"/>
              </w:rPr>
            </w:pPr>
          </w:p>
        </w:tc>
        <w:tc>
          <w:tcPr>
            <w:tcW w:w="628" w:type="dxa"/>
            <w:noWrap w:val="0"/>
            <w:vAlign w:val="top"/>
          </w:tcPr>
          <w:p w14:paraId="50D18A92">
            <w:pPr>
              <w:spacing w:line="280" w:lineRule="exact"/>
              <w:rPr>
                <w:rFonts w:hint="eastAsia" w:ascii="宋体" w:hAnsi="宋体" w:cs="宋体"/>
                <w:b/>
                <w:szCs w:val="21"/>
              </w:rPr>
            </w:pPr>
          </w:p>
        </w:tc>
      </w:tr>
      <w:tr w14:paraId="51F18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47" w:type="dxa"/>
            <w:noWrap w:val="0"/>
            <w:vAlign w:val="center"/>
          </w:tcPr>
          <w:p w14:paraId="42AFBD58">
            <w:pPr>
              <w:spacing w:line="280" w:lineRule="exact"/>
              <w:jc w:val="center"/>
              <w:rPr>
                <w:rFonts w:hint="eastAsia" w:ascii="宋体" w:hAnsi="宋体" w:cs="宋体"/>
              </w:rPr>
            </w:pPr>
            <w:r>
              <w:rPr>
                <w:rFonts w:hint="eastAsia" w:ascii="宋体" w:hAnsi="宋体" w:cs="宋体"/>
              </w:rPr>
              <w:t>10</w:t>
            </w:r>
          </w:p>
        </w:tc>
        <w:tc>
          <w:tcPr>
            <w:tcW w:w="3472" w:type="dxa"/>
            <w:gridSpan w:val="2"/>
            <w:noWrap w:val="0"/>
            <w:vAlign w:val="center"/>
          </w:tcPr>
          <w:p w14:paraId="4768EEEF">
            <w:pPr>
              <w:spacing w:line="280" w:lineRule="exact"/>
              <w:rPr>
                <w:rFonts w:hint="eastAsia" w:ascii="宋体" w:hAnsi="宋体" w:cs="宋体"/>
                <w:szCs w:val="21"/>
              </w:rPr>
            </w:pPr>
            <w:r>
              <w:rPr>
                <w:rFonts w:hint="eastAsia" w:ascii="宋体" w:hAnsi="宋体" w:cs="宋体"/>
                <w:szCs w:val="21"/>
              </w:rPr>
              <w:t>反映意见渠道畅通，有公布投诉电话</w:t>
            </w:r>
          </w:p>
        </w:tc>
        <w:tc>
          <w:tcPr>
            <w:tcW w:w="443" w:type="dxa"/>
            <w:noWrap w:val="0"/>
            <w:vAlign w:val="top"/>
          </w:tcPr>
          <w:p w14:paraId="34E3ECBA">
            <w:pPr>
              <w:spacing w:line="280" w:lineRule="exact"/>
              <w:rPr>
                <w:rFonts w:hint="eastAsia" w:ascii="宋体" w:hAnsi="宋体" w:cs="宋体"/>
                <w:b/>
                <w:szCs w:val="21"/>
              </w:rPr>
            </w:pPr>
          </w:p>
        </w:tc>
        <w:tc>
          <w:tcPr>
            <w:tcW w:w="307" w:type="dxa"/>
            <w:noWrap w:val="0"/>
            <w:vAlign w:val="top"/>
          </w:tcPr>
          <w:p w14:paraId="3F02B3B7">
            <w:pPr>
              <w:spacing w:line="280" w:lineRule="exact"/>
              <w:rPr>
                <w:rFonts w:hint="eastAsia" w:ascii="宋体" w:hAnsi="宋体" w:cs="宋体"/>
                <w:b/>
                <w:szCs w:val="21"/>
              </w:rPr>
            </w:pPr>
          </w:p>
        </w:tc>
        <w:tc>
          <w:tcPr>
            <w:tcW w:w="345" w:type="dxa"/>
            <w:noWrap w:val="0"/>
            <w:vAlign w:val="top"/>
          </w:tcPr>
          <w:p w14:paraId="68574E81">
            <w:pPr>
              <w:spacing w:line="280" w:lineRule="exact"/>
              <w:rPr>
                <w:rFonts w:hint="eastAsia" w:ascii="宋体" w:hAnsi="宋体" w:cs="宋体"/>
                <w:b/>
                <w:szCs w:val="21"/>
              </w:rPr>
            </w:pPr>
          </w:p>
        </w:tc>
        <w:tc>
          <w:tcPr>
            <w:tcW w:w="338" w:type="dxa"/>
            <w:noWrap w:val="0"/>
            <w:vAlign w:val="top"/>
          </w:tcPr>
          <w:p w14:paraId="63453784">
            <w:pPr>
              <w:spacing w:line="280" w:lineRule="exact"/>
              <w:rPr>
                <w:rFonts w:hint="eastAsia" w:ascii="宋体" w:hAnsi="宋体" w:cs="宋体"/>
                <w:b/>
                <w:szCs w:val="21"/>
              </w:rPr>
            </w:pPr>
          </w:p>
        </w:tc>
        <w:tc>
          <w:tcPr>
            <w:tcW w:w="367" w:type="dxa"/>
            <w:noWrap w:val="0"/>
            <w:vAlign w:val="top"/>
          </w:tcPr>
          <w:p w14:paraId="072CE013">
            <w:pPr>
              <w:spacing w:line="280" w:lineRule="exact"/>
              <w:rPr>
                <w:rFonts w:hint="eastAsia" w:ascii="宋体" w:hAnsi="宋体" w:cs="宋体"/>
                <w:b/>
                <w:szCs w:val="21"/>
              </w:rPr>
            </w:pPr>
          </w:p>
        </w:tc>
        <w:tc>
          <w:tcPr>
            <w:tcW w:w="368" w:type="dxa"/>
            <w:noWrap w:val="0"/>
            <w:vAlign w:val="top"/>
          </w:tcPr>
          <w:p w14:paraId="3EB26554">
            <w:pPr>
              <w:spacing w:line="280" w:lineRule="exact"/>
              <w:rPr>
                <w:rFonts w:hint="eastAsia" w:ascii="宋体" w:hAnsi="宋体" w:cs="宋体"/>
                <w:b/>
                <w:szCs w:val="21"/>
              </w:rPr>
            </w:pPr>
          </w:p>
        </w:tc>
        <w:tc>
          <w:tcPr>
            <w:tcW w:w="435" w:type="dxa"/>
            <w:noWrap w:val="0"/>
            <w:vAlign w:val="top"/>
          </w:tcPr>
          <w:p w14:paraId="56F8C70B">
            <w:pPr>
              <w:spacing w:line="280" w:lineRule="exact"/>
              <w:rPr>
                <w:rFonts w:hint="eastAsia" w:ascii="宋体" w:hAnsi="宋体" w:cs="宋体"/>
                <w:b/>
                <w:szCs w:val="21"/>
              </w:rPr>
            </w:pPr>
          </w:p>
        </w:tc>
        <w:tc>
          <w:tcPr>
            <w:tcW w:w="390" w:type="dxa"/>
            <w:noWrap w:val="0"/>
            <w:vAlign w:val="top"/>
          </w:tcPr>
          <w:p w14:paraId="0A4CB37A">
            <w:pPr>
              <w:spacing w:line="280" w:lineRule="exact"/>
              <w:rPr>
                <w:rFonts w:hint="eastAsia" w:ascii="宋体" w:hAnsi="宋体" w:cs="宋体"/>
                <w:b/>
                <w:szCs w:val="21"/>
              </w:rPr>
            </w:pPr>
          </w:p>
        </w:tc>
        <w:tc>
          <w:tcPr>
            <w:tcW w:w="427" w:type="dxa"/>
            <w:noWrap w:val="0"/>
            <w:vAlign w:val="top"/>
          </w:tcPr>
          <w:p w14:paraId="784762A1">
            <w:pPr>
              <w:spacing w:line="280" w:lineRule="exact"/>
              <w:rPr>
                <w:rFonts w:hint="eastAsia" w:ascii="宋体" w:hAnsi="宋体" w:cs="宋体"/>
                <w:b/>
                <w:szCs w:val="21"/>
              </w:rPr>
            </w:pPr>
          </w:p>
        </w:tc>
        <w:tc>
          <w:tcPr>
            <w:tcW w:w="315" w:type="dxa"/>
            <w:noWrap w:val="0"/>
            <w:vAlign w:val="top"/>
          </w:tcPr>
          <w:p w14:paraId="324CEA39">
            <w:pPr>
              <w:spacing w:line="280" w:lineRule="exact"/>
              <w:rPr>
                <w:rFonts w:hint="eastAsia" w:ascii="宋体" w:hAnsi="宋体" w:cs="宋体"/>
                <w:b/>
                <w:szCs w:val="21"/>
              </w:rPr>
            </w:pPr>
          </w:p>
        </w:tc>
        <w:tc>
          <w:tcPr>
            <w:tcW w:w="628" w:type="dxa"/>
            <w:noWrap w:val="0"/>
            <w:vAlign w:val="top"/>
          </w:tcPr>
          <w:p w14:paraId="1C2ADC23">
            <w:pPr>
              <w:spacing w:line="280" w:lineRule="exact"/>
              <w:rPr>
                <w:rFonts w:hint="eastAsia" w:ascii="宋体" w:hAnsi="宋体" w:cs="宋体"/>
                <w:b/>
                <w:szCs w:val="21"/>
              </w:rPr>
            </w:pPr>
          </w:p>
        </w:tc>
      </w:tr>
      <w:tr w14:paraId="4D5BA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019" w:type="dxa"/>
            <w:gridSpan w:val="3"/>
            <w:noWrap w:val="0"/>
            <w:vAlign w:val="center"/>
          </w:tcPr>
          <w:p w14:paraId="678A04F2">
            <w:pPr>
              <w:spacing w:line="280" w:lineRule="exact"/>
              <w:jc w:val="center"/>
              <w:rPr>
                <w:rFonts w:hint="eastAsia" w:ascii="宋体" w:hAnsi="宋体" w:cs="宋体"/>
                <w:b/>
                <w:szCs w:val="21"/>
              </w:rPr>
            </w:pPr>
            <w:r>
              <w:rPr>
                <w:rFonts w:hint="eastAsia" w:ascii="宋体" w:hAnsi="宋体" w:cs="宋体"/>
                <w:b/>
                <w:bCs/>
              </w:rPr>
              <w:t>得  分</w:t>
            </w:r>
          </w:p>
        </w:tc>
        <w:tc>
          <w:tcPr>
            <w:tcW w:w="4363" w:type="dxa"/>
            <w:gridSpan w:val="11"/>
            <w:noWrap w:val="0"/>
            <w:vAlign w:val="center"/>
          </w:tcPr>
          <w:p w14:paraId="63EE3882">
            <w:pPr>
              <w:spacing w:line="280" w:lineRule="exact"/>
              <w:jc w:val="center"/>
              <w:rPr>
                <w:rFonts w:hint="eastAsia" w:ascii="宋体" w:hAnsi="宋体" w:cs="宋体"/>
                <w:b/>
                <w:szCs w:val="21"/>
              </w:rPr>
            </w:pPr>
          </w:p>
        </w:tc>
      </w:tr>
      <w:tr w14:paraId="3C3CD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64" w:type="dxa"/>
            <w:gridSpan w:val="2"/>
            <w:noWrap w:val="0"/>
            <w:vAlign w:val="center"/>
          </w:tcPr>
          <w:p w14:paraId="1C334DD6">
            <w:pPr>
              <w:spacing w:line="280" w:lineRule="exact"/>
              <w:jc w:val="center"/>
              <w:rPr>
                <w:rFonts w:hint="eastAsia" w:ascii="宋体" w:hAnsi="宋体" w:cs="宋体"/>
              </w:rPr>
            </w:pPr>
            <w:r>
              <w:rPr>
                <w:rFonts w:hint="eastAsia" w:ascii="宋体" w:hAnsi="宋体" w:cs="宋体"/>
              </w:rPr>
              <w:t>考核人签名</w:t>
            </w:r>
          </w:p>
          <w:p w14:paraId="51FDF8E7">
            <w:pPr>
              <w:spacing w:line="280" w:lineRule="exact"/>
              <w:jc w:val="center"/>
              <w:rPr>
                <w:rFonts w:hint="eastAsia" w:ascii="宋体" w:hAnsi="宋体" w:cs="宋体"/>
                <w:b/>
                <w:szCs w:val="21"/>
              </w:rPr>
            </w:pPr>
            <w:r>
              <w:rPr>
                <w:rFonts w:hint="eastAsia" w:ascii="宋体" w:hAnsi="宋体" w:cs="宋体"/>
              </w:rPr>
              <w:t>及建议</w:t>
            </w:r>
          </w:p>
        </w:tc>
        <w:tc>
          <w:tcPr>
            <w:tcW w:w="7318" w:type="dxa"/>
            <w:gridSpan w:val="12"/>
            <w:noWrap w:val="0"/>
            <w:vAlign w:val="top"/>
          </w:tcPr>
          <w:p w14:paraId="325E8110">
            <w:pPr>
              <w:spacing w:line="280" w:lineRule="exact"/>
              <w:rPr>
                <w:rFonts w:hint="eastAsia" w:ascii="宋体" w:hAnsi="宋体" w:cs="宋体"/>
                <w:b/>
                <w:szCs w:val="21"/>
              </w:rPr>
            </w:pPr>
          </w:p>
        </w:tc>
      </w:tr>
      <w:tr w14:paraId="565F2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64" w:type="dxa"/>
            <w:gridSpan w:val="2"/>
            <w:noWrap w:val="0"/>
            <w:vAlign w:val="center"/>
          </w:tcPr>
          <w:p w14:paraId="6171935E">
            <w:pPr>
              <w:spacing w:line="280" w:lineRule="exact"/>
              <w:jc w:val="center"/>
              <w:rPr>
                <w:rFonts w:hint="eastAsia" w:ascii="宋体" w:hAnsi="宋体" w:cs="宋体"/>
              </w:rPr>
            </w:pPr>
            <w:r>
              <w:rPr>
                <w:rFonts w:hint="eastAsia" w:ascii="宋体" w:hAnsi="宋体" w:cs="宋体"/>
              </w:rPr>
              <w:t>说</w:t>
            </w:r>
          </w:p>
          <w:p w14:paraId="20240557">
            <w:pPr>
              <w:spacing w:line="280" w:lineRule="exact"/>
              <w:jc w:val="center"/>
              <w:rPr>
                <w:rFonts w:hint="eastAsia" w:ascii="宋体" w:hAnsi="宋体" w:cs="宋体"/>
                <w:b/>
                <w:szCs w:val="21"/>
              </w:rPr>
            </w:pPr>
            <w:r>
              <w:rPr>
                <w:rFonts w:hint="eastAsia" w:ascii="宋体" w:hAnsi="宋体" w:cs="宋体"/>
              </w:rPr>
              <w:t>明</w:t>
            </w:r>
          </w:p>
        </w:tc>
        <w:tc>
          <w:tcPr>
            <w:tcW w:w="7318" w:type="dxa"/>
            <w:gridSpan w:val="12"/>
            <w:noWrap w:val="0"/>
            <w:vAlign w:val="center"/>
          </w:tcPr>
          <w:p w14:paraId="762D1760">
            <w:pPr>
              <w:spacing w:line="280" w:lineRule="exact"/>
              <w:rPr>
                <w:rFonts w:hint="eastAsia" w:ascii="宋体" w:hAnsi="宋体" w:cs="宋体"/>
                <w:b/>
                <w:szCs w:val="21"/>
              </w:rPr>
            </w:pPr>
            <w:r>
              <w:rPr>
                <w:rFonts w:hint="eastAsia" w:ascii="宋体" w:hAnsi="宋体" w:cs="宋体"/>
              </w:rPr>
              <w:t>本项目物业测评考核区域为：教学楼（宿舍）、办公楼、体育馆、校园绿化养护、环境保洁、小型维修等物业管理服务。</w:t>
            </w:r>
          </w:p>
        </w:tc>
      </w:tr>
    </w:tbl>
    <w:p w14:paraId="4C6CE2E4">
      <w:pPr>
        <w:spacing w:line="400" w:lineRule="exact"/>
        <w:rPr>
          <w:sz w:val="36"/>
          <w:szCs w:val="36"/>
        </w:rPr>
      </w:pPr>
    </w:p>
    <w:p w14:paraId="014089BA">
      <w:pPr>
        <w:spacing w:line="400" w:lineRule="exact"/>
        <w:ind w:firstLine="241"/>
        <w:rPr>
          <w:b/>
          <w:sz w:val="13"/>
          <w:szCs w:val="13"/>
        </w:rPr>
      </w:pPr>
      <w:r>
        <w:rPr>
          <w:b/>
          <w:sz w:val="24"/>
        </w:rPr>
        <w:t>2.考核办法</w:t>
      </w:r>
    </w:p>
    <w:p w14:paraId="663B0F48">
      <w:pPr>
        <w:spacing w:line="400" w:lineRule="exact"/>
        <w:rPr>
          <w:b/>
          <w:sz w:val="13"/>
          <w:szCs w:val="13"/>
        </w:rPr>
      </w:pPr>
    </w:p>
    <w:p w14:paraId="03A22D62">
      <w:pPr>
        <w:pStyle w:val="3"/>
        <w:spacing w:line="580" w:lineRule="exact"/>
        <w:jc w:val="center"/>
        <w:rPr>
          <w:rFonts w:ascii="黑体" w:hAnsi="黑体" w:eastAsia="黑体"/>
          <w:color w:val="auto"/>
          <w:sz w:val="30"/>
          <w:szCs w:val="30"/>
        </w:rPr>
      </w:pPr>
      <w:r>
        <w:rPr>
          <w:rFonts w:hint="eastAsia" w:ascii="黑体" w:hAnsi="黑体" w:eastAsia="黑体"/>
          <w:color w:val="auto"/>
          <w:sz w:val="30"/>
          <w:szCs w:val="30"/>
        </w:rPr>
        <w:t>江苏海洋大学后勤与基建管理处物业管理考核办法（修订）</w:t>
      </w:r>
    </w:p>
    <w:p w14:paraId="3DEC0F23">
      <w:pPr>
        <w:rPr>
          <w:lang w:val="zh-CN"/>
        </w:rPr>
      </w:pPr>
    </w:p>
    <w:p w14:paraId="71A6EB1F">
      <w:pPr>
        <w:spacing w:line="360" w:lineRule="auto"/>
        <w:ind w:firstLine="480" w:firstLineChars="200"/>
        <w:rPr>
          <w:rFonts w:hint="eastAsia" w:ascii="宋体" w:hAnsi="宋体"/>
          <w:sz w:val="24"/>
        </w:rPr>
      </w:pPr>
      <w:r>
        <w:rPr>
          <w:rFonts w:hint="eastAsia" w:ascii="宋体" w:hAnsi="宋体"/>
          <w:sz w:val="24"/>
        </w:rPr>
        <w:t>为加强对物业托管服务单位的考核与监督，提高物业管理服务能力和水平，确保物业托管服务单位严格按照合同约定切实履行合同义务，结合学校物业管理的分类与实际情况，制定本办法。</w:t>
      </w:r>
    </w:p>
    <w:p w14:paraId="6F7ACE4E">
      <w:pPr>
        <w:spacing w:line="360" w:lineRule="auto"/>
        <w:ind w:firstLine="480" w:firstLineChars="200"/>
        <w:jc w:val="center"/>
        <w:rPr>
          <w:rFonts w:hint="eastAsia" w:ascii="宋体" w:hAnsi="宋体"/>
          <w:b/>
          <w:bCs/>
          <w:sz w:val="24"/>
        </w:rPr>
      </w:pPr>
      <w:r>
        <w:rPr>
          <w:rFonts w:hint="eastAsia" w:ascii="宋体" w:hAnsi="宋体"/>
          <w:b/>
          <w:bCs/>
          <w:sz w:val="24"/>
        </w:rPr>
        <w:t>第一章 考核管理的主要内容</w:t>
      </w:r>
    </w:p>
    <w:p w14:paraId="397F6110">
      <w:pPr>
        <w:spacing w:line="360" w:lineRule="auto"/>
        <w:ind w:firstLine="480" w:firstLineChars="200"/>
        <w:rPr>
          <w:rFonts w:hint="eastAsia" w:ascii="宋体" w:hAnsi="宋体"/>
          <w:sz w:val="24"/>
        </w:rPr>
      </w:pPr>
      <w:r>
        <w:rPr>
          <w:rFonts w:hint="eastAsia" w:ascii="宋体" w:hAnsi="宋体"/>
          <w:sz w:val="24"/>
        </w:rPr>
        <w:t>第一条 人员管理：物业服务人员数量是否符合要求，人员出勤率是否到位，着装是否规范。</w:t>
      </w:r>
    </w:p>
    <w:p w14:paraId="13ABDE79">
      <w:pPr>
        <w:spacing w:line="360" w:lineRule="auto"/>
        <w:ind w:firstLine="480" w:firstLineChars="200"/>
        <w:rPr>
          <w:rFonts w:hint="eastAsia" w:ascii="宋体" w:hAnsi="宋体"/>
          <w:sz w:val="24"/>
        </w:rPr>
      </w:pPr>
      <w:r>
        <w:rPr>
          <w:rFonts w:hint="eastAsia" w:ascii="宋体" w:hAnsi="宋体"/>
          <w:sz w:val="24"/>
        </w:rPr>
        <w:t>第二条 安全管理：安全管理制度以及突发应急工作预案是否完备，安全隐患和安全风险是否及时排除；每季度是否按规范开展演练至少1次，员工是否能够按照预案熟练处置突发情况。</w:t>
      </w:r>
    </w:p>
    <w:p w14:paraId="577C75D2">
      <w:pPr>
        <w:spacing w:line="360" w:lineRule="auto"/>
        <w:ind w:firstLine="480" w:firstLineChars="200"/>
        <w:rPr>
          <w:rFonts w:hint="eastAsia" w:ascii="宋体" w:hAnsi="宋体"/>
          <w:sz w:val="24"/>
        </w:rPr>
      </w:pPr>
      <w:r>
        <w:rPr>
          <w:rFonts w:hint="eastAsia" w:ascii="宋体" w:hAnsi="宋体"/>
          <w:sz w:val="24"/>
        </w:rPr>
        <w:t>第三条 资产管理：是否定期检查维护设施设备，并确保运行可靠；雨雪台风等极端天气是否提前做好防护，保护资产完好情况；是否按要求规范及时做好房屋、课桌椅等各种资产的维修维护。</w:t>
      </w:r>
    </w:p>
    <w:p w14:paraId="6CECC574">
      <w:pPr>
        <w:spacing w:line="360" w:lineRule="auto"/>
        <w:ind w:firstLine="480" w:firstLineChars="200"/>
        <w:rPr>
          <w:rFonts w:hint="eastAsia" w:ascii="宋体" w:hAnsi="宋体"/>
          <w:sz w:val="24"/>
        </w:rPr>
      </w:pPr>
      <w:r>
        <w:rPr>
          <w:rFonts w:hint="eastAsia" w:ascii="宋体" w:hAnsi="宋体"/>
          <w:sz w:val="24"/>
        </w:rPr>
        <w:t>第四条 环境卫生管理：员工是否统一着装上岗，保持个人卫生清洁；是否按要求定时打扫以及打扫是否整洁干净无死角，垃圾是否及时清运，是否按标准做好区域保洁，做到地表目视无杂物、无垃圾、无污渍；清洁用品是否摆放整齐有序；化粪池、雨水井、污水井等是否及时清掏并保证使用功能正常；卫生间是否定时保洁消毒、干净无异味，台面、镜面无水渍，小便斗、蹲便池无黄渍，卫生间设施设备完好正常运转情况；是否定期开展杀虫、灭鼠及消毒消杀工作。</w:t>
      </w:r>
    </w:p>
    <w:p w14:paraId="6B1AF404">
      <w:pPr>
        <w:spacing w:line="360" w:lineRule="auto"/>
        <w:ind w:firstLine="480" w:firstLineChars="200"/>
        <w:rPr>
          <w:rFonts w:hint="eastAsia" w:ascii="宋体" w:hAnsi="宋体"/>
          <w:sz w:val="24"/>
        </w:rPr>
      </w:pPr>
      <w:r>
        <w:rPr>
          <w:rFonts w:hint="eastAsia" w:ascii="宋体" w:hAnsi="宋体"/>
          <w:sz w:val="24"/>
        </w:rPr>
        <w:t>第五条 标识管理：是否根据学校实际情况，在服务范围内按要求制作并安装警示标识等标识牌，标识牌是否完好清晰美观，安放位置是否合理，是否按规定在校园水域配备救生圈等安全设施。</w:t>
      </w:r>
    </w:p>
    <w:p w14:paraId="1CC21EE2">
      <w:pPr>
        <w:spacing w:line="360" w:lineRule="auto"/>
        <w:ind w:firstLine="480" w:firstLineChars="200"/>
        <w:rPr>
          <w:rFonts w:hint="eastAsia" w:ascii="宋体" w:hAnsi="宋体"/>
          <w:sz w:val="24"/>
        </w:rPr>
      </w:pPr>
      <w:r>
        <w:rPr>
          <w:rFonts w:hint="eastAsia" w:ascii="宋体" w:hAnsi="宋体"/>
          <w:sz w:val="24"/>
        </w:rPr>
        <w:t>第六条 值班管理：值班记录是否完整规范、清晰可查；值班人员是否礼貌待人、文明服务；交班是否规范严谨；是否定时对所辖场所及周边巡查，并发现问题及时处理和报告。</w:t>
      </w:r>
    </w:p>
    <w:p w14:paraId="4BB2DBC8">
      <w:pPr>
        <w:spacing w:line="360" w:lineRule="auto"/>
        <w:ind w:firstLine="480" w:firstLineChars="200"/>
        <w:rPr>
          <w:rFonts w:hint="eastAsia" w:ascii="宋体" w:hAnsi="宋体"/>
          <w:sz w:val="24"/>
        </w:rPr>
      </w:pPr>
      <w:r>
        <w:rPr>
          <w:rFonts w:hint="eastAsia" w:ascii="宋体" w:hAnsi="宋体"/>
          <w:sz w:val="24"/>
        </w:rPr>
        <w:t>第七条 配电及照明设备管理：是否认真进行日常巡查，设备运行记录齐全，保持设备整洁，及时完成设备消缺工作，制定并实施设备养护计划，确保办公、教学、生活等区域供电可靠。</w:t>
      </w:r>
    </w:p>
    <w:p w14:paraId="18326794">
      <w:pPr>
        <w:spacing w:line="360" w:lineRule="auto"/>
        <w:ind w:firstLine="480" w:firstLineChars="200"/>
        <w:rPr>
          <w:rFonts w:hint="eastAsia" w:ascii="宋体" w:hAnsi="宋体"/>
          <w:sz w:val="24"/>
        </w:rPr>
      </w:pPr>
      <w:r>
        <w:rPr>
          <w:rFonts w:hint="eastAsia" w:ascii="宋体" w:hAnsi="宋体"/>
          <w:sz w:val="24"/>
        </w:rPr>
        <w:t>第八条 节能管理：是否根据季节、天气变换及时切换照明等设备运行方式；是否认真进行日常巡检工作，无长明灯、无跑冒滴漏现象，并做好巡检及维修保养记录。</w:t>
      </w:r>
    </w:p>
    <w:p w14:paraId="7EF0A90C">
      <w:pPr>
        <w:spacing w:line="360" w:lineRule="auto"/>
        <w:ind w:firstLine="480" w:firstLineChars="200"/>
        <w:rPr>
          <w:rFonts w:hint="eastAsia" w:ascii="宋体" w:hAnsi="宋体"/>
          <w:sz w:val="24"/>
        </w:rPr>
      </w:pPr>
      <w:r>
        <w:rPr>
          <w:rFonts w:hint="eastAsia" w:ascii="宋体" w:hAnsi="宋体"/>
          <w:sz w:val="24"/>
        </w:rPr>
        <w:t>第九条 维修管理：日常校园巡检完整，地面地砖及建筑墙砖破损等是否及时按规范维修，台账完整，是否及时按要求完成校方交办的小型维修工作。</w:t>
      </w:r>
    </w:p>
    <w:p w14:paraId="211522C3">
      <w:pPr>
        <w:spacing w:line="360" w:lineRule="auto"/>
        <w:ind w:firstLine="480" w:firstLineChars="200"/>
        <w:rPr>
          <w:rFonts w:hint="eastAsia" w:ascii="宋体" w:hAnsi="宋体"/>
          <w:sz w:val="24"/>
        </w:rPr>
      </w:pPr>
      <w:r>
        <w:rPr>
          <w:rFonts w:hint="eastAsia" w:ascii="宋体" w:hAnsi="宋体"/>
          <w:sz w:val="24"/>
        </w:rPr>
        <w:t>第十条 绿化养护：制定每周工作计划，编制绿化苗木台账清单，每日填写绿化工作记录表，每次消杀完成后，填写病虫害消杀工作记录表，无缺水干旱现象，正常施肥喷药，无病虫害，因维护保养不到位造成生长不良或死亡，应及时予以更换或补种。草坪清理干净无垃圾，修剪整齐无杂草。根据天气情况，采取措施做好乔灌木的防寒防冻及防台风工作。乔灌木定期修剪，造型轮廓整齐美观。</w:t>
      </w:r>
    </w:p>
    <w:p w14:paraId="08076122">
      <w:pPr>
        <w:spacing w:line="360" w:lineRule="auto"/>
        <w:ind w:firstLine="480" w:firstLineChars="200"/>
        <w:rPr>
          <w:rFonts w:hint="eastAsia" w:ascii="宋体" w:hAnsi="宋体"/>
          <w:sz w:val="24"/>
        </w:rPr>
      </w:pPr>
      <w:r>
        <w:rPr>
          <w:rFonts w:hint="eastAsia" w:ascii="宋体" w:hAnsi="宋体"/>
          <w:sz w:val="24"/>
        </w:rPr>
        <w:t>第十一条 履行服务承诺：主要考核物业托管服务单位的服务质量是否按合同要求履行承诺，投标自主承诺内容的履行情况，物业服务自我改进提升情况等。</w:t>
      </w:r>
    </w:p>
    <w:p w14:paraId="2DCE2C1C">
      <w:pPr>
        <w:spacing w:line="360" w:lineRule="auto"/>
        <w:ind w:firstLine="480" w:firstLineChars="200"/>
        <w:rPr>
          <w:rFonts w:hint="eastAsia" w:ascii="宋体" w:hAnsi="宋体"/>
          <w:sz w:val="24"/>
        </w:rPr>
      </w:pPr>
      <w:r>
        <w:rPr>
          <w:rFonts w:hint="eastAsia" w:ascii="宋体" w:hAnsi="宋体"/>
          <w:sz w:val="24"/>
        </w:rPr>
        <w:t>第十二条 其他：未包含在以上内容的其他物业委托服务范围内的工作完成情况。</w:t>
      </w:r>
    </w:p>
    <w:p w14:paraId="064E0801">
      <w:pPr>
        <w:spacing w:line="360" w:lineRule="auto"/>
        <w:ind w:firstLine="480" w:firstLineChars="200"/>
        <w:jc w:val="center"/>
        <w:rPr>
          <w:rFonts w:hint="eastAsia" w:ascii="宋体" w:hAnsi="宋体"/>
          <w:b/>
          <w:bCs/>
          <w:sz w:val="24"/>
        </w:rPr>
      </w:pPr>
      <w:r>
        <w:rPr>
          <w:rFonts w:hint="eastAsia" w:ascii="宋体" w:hAnsi="宋体"/>
          <w:b/>
          <w:bCs/>
          <w:sz w:val="24"/>
        </w:rPr>
        <w:t>第二章 考核形式</w:t>
      </w:r>
    </w:p>
    <w:p w14:paraId="76586EBA">
      <w:pPr>
        <w:spacing w:line="360" w:lineRule="auto"/>
        <w:ind w:firstLine="480" w:firstLineChars="200"/>
        <w:rPr>
          <w:rFonts w:hint="eastAsia" w:ascii="宋体" w:hAnsi="宋体"/>
          <w:sz w:val="24"/>
        </w:rPr>
      </w:pPr>
      <w:r>
        <w:rPr>
          <w:rFonts w:hint="eastAsia" w:ascii="宋体" w:hAnsi="宋体"/>
          <w:sz w:val="24"/>
        </w:rPr>
        <w:t>第十三条 考核分为定期考核和不定期考核，全校师生积极参与。</w:t>
      </w:r>
    </w:p>
    <w:p w14:paraId="7CF3A8FA">
      <w:pPr>
        <w:spacing w:line="360" w:lineRule="auto"/>
        <w:ind w:firstLine="480" w:firstLineChars="200"/>
        <w:rPr>
          <w:rFonts w:hint="eastAsia" w:ascii="宋体" w:hAnsi="宋体"/>
          <w:sz w:val="24"/>
        </w:rPr>
      </w:pPr>
      <w:r>
        <w:rPr>
          <w:rFonts w:hint="eastAsia" w:ascii="宋体" w:hAnsi="宋体"/>
          <w:sz w:val="24"/>
        </w:rPr>
        <w:t>1.定期考核</w:t>
      </w:r>
    </w:p>
    <w:p w14:paraId="1DDAE2C2">
      <w:pPr>
        <w:spacing w:line="360" w:lineRule="auto"/>
        <w:ind w:firstLine="480" w:firstLineChars="200"/>
        <w:rPr>
          <w:rFonts w:hint="eastAsia" w:ascii="宋体" w:hAnsi="宋体"/>
          <w:sz w:val="24"/>
        </w:rPr>
      </w:pPr>
      <w:r>
        <w:rPr>
          <w:rFonts w:hint="eastAsia" w:ascii="宋体" w:hAnsi="宋体"/>
          <w:sz w:val="24"/>
        </w:rPr>
        <w:t>由后勤与基建管理处校区相关科室负责对所在校区定期考核及管理工作，定期考核原则上每三个月一次。校区相关科室定期向后勤与基建管理处物业考核小组（考核小组由全体处领导组成，处长任组长）分发和回收《江苏海洋大学物业服务季度测评考核表》（附件2）、及向全校师生分发和回收《江苏海洋大学物业服务季度满意度测评考核表》（附件3），校区相关科室成员依据本办法及《江苏海洋大学物业服务月度考核评分细则》（附件1）对物业服务对象进行考核，对乙方物业服务内容及质量进行评分并提出相应的整改意见。</w:t>
      </w:r>
    </w:p>
    <w:p w14:paraId="0D38FDA1">
      <w:pPr>
        <w:spacing w:line="360" w:lineRule="auto"/>
        <w:ind w:firstLine="480" w:firstLineChars="200"/>
        <w:rPr>
          <w:rFonts w:hint="eastAsia" w:ascii="宋体" w:hAnsi="宋体"/>
          <w:sz w:val="24"/>
        </w:rPr>
      </w:pPr>
      <w:r>
        <w:rPr>
          <w:rFonts w:hint="eastAsia" w:ascii="宋体" w:hAnsi="宋体"/>
          <w:sz w:val="24"/>
        </w:rPr>
        <w:t>2.不定期考核</w:t>
      </w:r>
    </w:p>
    <w:p w14:paraId="782A2721">
      <w:pPr>
        <w:spacing w:line="360" w:lineRule="auto"/>
        <w:ind w:firstLine="480" w:firstLineChars="200"/>
        <w:rPr>
          <w:rFonts w:hint="eastAsia" w:ascii="宋体" w:hAnsi="宋体"/>
          <w:sz w:val="24"/>
        </w:rPr>
      </w:pPr>
      <w:r>
        <w:rPr>
          <w:rFonts w:hint="eastAsia" w:ascii="宋体" w:hAnsi="宋体"/>
          <w:sz w:val="24"/>
        </w:rPr>
        <w:t>由相关物业科室负责不定期考核工作。校区相关科室依据本办法、《江苏海洋大学物业服务月度考核评分细则》、物业委托服务合同、招投标文件、相关承诺等，对乙方物业服务内容及质量进行检查、巡查，并当场提出整改意见，下达口头、书面整改通知单或者扣款通知单，扣款额为500-5000元。</w:t>
      </w:r>
    </w:p>
    <w:p w14:paraId="5E33918D">
      <w:pPr>
        <w:spacing w:line="360" w:lineRule="auto"/>
        <w:ind w:firstLine="480" w:firstLineChars="200"/>
        <w:jc w:val="center"/>
        <w:rPr>
          <w:rFonts w:hint="eastAsia" w:ascii="宋体" w:hAnsi="宋体"/>
          <w:b/>
          <w:bCs/>
          <w:sz w:val="24"/>
        </w:rPr>
      </w:pPr>
      <w:r>
        <w:rPr>
          <w:rFonts w:hint="eastAsia" w:ascii="宋体" w:hAnsi="宋体"/>
          <w:b/>
          <w:bCs/>
          <w:sz w:val="24"/>
        </w:rPr>
        <w:t>第三章 考核等级确定</w:t>
      </w:r>
    </w:p>
    <w:p w14:paraId="66C93C9A">
      <w:pPr>
        <w:spacing w:line="360" w:lineRule="auto"/>
        <w:ind w:firstLine="480" w:firstLineChars="200"/>
        <w:rPr>
          <w:rFonts w:hint="eastAsia" w:ascii="宋体" w:hAnsi="宋体"/>
          <w:sz w:val="24"/>
        </w:rPr>
      </w:pPr>
      <w:r>
        <w:rPr>
          <w:rFonts w:hint="eastAsia" w:ascii="宋体" w:hAnsi="宋体"/>
          <w:sz w:val="24"/>
        </w:rPr>
        <w:t>第十四条 考核总评得分为100分；</w:t>
      </w:r>
    </w:p>
    <w:p w14:paraId="2275ECC0">
      <w:pPr>
        <w:spacing w:line="360" w:lineRule="auto"/>
        <w:ind w:firstLine="480" w:firstLineChars="200"/>
        <w:rPr>
          <w:rFonts w:hint="eastAsia" w:ascii="宋体" w:hAnsi="宋体"/>
          <w:sz w:val="24"/>
        </w:rPr>
      </w:pPr>
      <w:r>
        <w:rPr>
          <w:rFonts w:hint="eastAsia" w:ascii="宋体" w:hAnsi="宋体"/>
          <w:sz w:val="24"/>
        </w:rPr>
        <w:t>第十五条 考核等级分为：A级、B级、C级、D级、E级，三个月为一周期。</w:t>
      </w:r>
    </w:p>
    <w:p w14:paraId="51EB1A14">
      <w:pPr>
        <w:spacing w:line="360" w:lineRule="auto"/>
        <w:ind w:firstLine="480" w:firstLineChars="200"/>
        <w:rPr>
          <w:rFonts w:hint="eastAsia" w:ascii="宋体" w:hAnsi="宋体"/>
          <w:sz w:val="24"/>
        </w:rPr>
      </w:pPr>
      <w:r>
        <w:rPr>
          <w:rFonts w:hint="eastAsia" w:ascii="宋体" w:hAnsi="宋体"/>
          <w:sz w:val="24"/>
        </w:rPr>
        <w:t>A级：每周期内综合得分90分以上（含90分）；</w:t>
      </w:r>
    </w:p>
    <w:p w14:paraId="6DED4D21">
      <w:pPr>
        <w:spacing w:line="360" w:lineRule="auto"/>
        <w:ind w:firstLine="480" w:firstLineChars="200"/>
        <w:rPr>
          <w:rFonts w:hint="eastAsia" w:ascii="宋体" w:hAnsi="宋体"/>
          <w:sz w:val="24"/>
        </w:rPr>
      </w:pPr>
      <w:r>
        <w:rPr>
          <w:rFonts w:hint="eastAsia" w:ascii="宋体" w:hAnsi="宋体"/>
          <w:sz w:val="24"/>
        </w:rPr>
        <w:t>B级：每周期内综合得分85分以上（含85分）到89分；</w:t>
      </w:r>
    </w:p>
    <w:p w14:paraId="2517200E">
      <w:pPr>
        <w:spacing w:line="360" w:lineRule="auto"/>
        <w:ind w:firstLine="480" w:firstLineChars="200"/>
        <w:rPr>
          <w:rFonts w:hint="eastAsia" w:ascii="宋体" w:hAnsi="宋体"/>
          <w:sz w:val="24"/>
        </w:rPr>
      </w:pPr>
      <w:r>
        <w:rPr>
          <w:rFonts w:hint="eastAsia" w:ascii="宋体" w:hAnsi="宋体"/>
          <w:sz w:val="24"/>
        </w:rPr>
        <w:t>C级：每周期内综合得分80分以上（含80分）到84分；</w:t>
      </w:r>
    </w:p>
    <w:p w14:paraId="759658A8">
      <w:pPr>
        <w:spacing w:line="360" w:lineRule="auto"/>
        <w:ind w:firstLine="480" w:firstLineChars="200"/>
        <w:rPr>
          <w:rFonts w:hint="eastAsia" w:ascii="宋体" w:hAnsi="宋体"/>
          <w:sz w:val="24"/>
        </w:rPr>
      </w:pPr>
      <w:r>
        <w:rPr>
          <w:rFonts w:hint="eastAsia" w:ascii="宋体" w:hAnsi="宋体"/>
          <w:sz w:val="24"/>
        </w:rPr>
        <w:t>D级：每周期内综合得分70分以上（含70分）到79分；</w:t>
      </w:r>
    </w:p>
    <w:p w14:paraId="633D827D">
      <w:pPr>
        <w:spacing w:line="360" w:lineRule="auto"/>
        <w:ind w:firstLine="480" w:firstLineChars="200"/>
        <w:rPr>
          <w:rFonts w:hint="eastAsia" w:ascii="宋体" w:hAnsi="宋体"/>
          <w:sz w:val="24"/>
        </w:rPr>
      </w:pPr>
      <w:r>
        <w:rPr>
          <w:rFonts w:hint="eastAsia" w:ascii="宋体" w:hAnsi="宋体"/>
          <w:sz w:val="24"/>
        </w:rPr>
        <w:t>E级：每周期内综合得分70分以下（不含70分）。</w:t>
      </w:r>
    </w:p>
    <w:p w14:paraId="60235DD9">
      <w:pPr>
        <w:spacing w:line="360" w:lineRule="auto"/>
        <w:ind w:firstLine="480" w:firstLineChars="200"/>
        <w:jc w:val="center"/>
        <w:rPr>
          <w:rFonts w:hint="eastAsia" w:ascii="宋体" w:hAnsi="宋体"/>
          <w:b/>
          <w:bCs/>
          <w:sz w:val="24"/>
        </w:rPr>
      </w:pPr>
      <w:r>
        <w:rPr>
          <w:rFonts w:hint="eastAsia" w:ascii="宋体" w:hAnsi="宋体"/>
          <w:b/>
          <w:bCs/>
          <w:sz w:val="24"/>
        </w:rPr>
        <w:t>第四章 考核结果运用</w:t>
      </w:r>
    </w:p>
    <w:p w14:paraId="614ADCA3">
      <w:pPr>
        <w:spacing w:line="360" w:lineRule="auto"/>
        <w:ind w:firstLine="480" w:firstLineChars="200"/>
        <w:rPr>
          <w:rFonts w:hint="eastAsia" w:ascii="宋体" w:hAnsi="宋体"/>
          <w:sz w:val="24"/>
        </w:rPr>
      </w:pPr>
      <w:r>
        <w:rPr>
          <w:rFonts w:hint="eastAsia" w:ascii="宋体" w:hAnsi="宋体"/>
          <w:sz w:val="24"/>
        </w:rPr>
        <w:t>第十六条 定期考核结果运用</w:t>
      </w:r>
    </w:p>
    <w:p w14:paraId="6FC595E9">
      <w:pPr>
        <w:spacing w:line="360" w:lineRule="auto"/>
        <w:ind w:firstLine="480" w:firstLineChars="200"/>
        <w:rPr>
          <w:rFonts w:hint="eastAsia" w:ascii="宋体" w:hAnsi="宋体"/>
          <w:sz w:val="24"/>
        </w:rPr>
      </w:pPr>
      <w:r>
        <w:rPr>
          <w:rFonts w:hint="eastAsia" w:ascii="宋体" w:hAnsi="宋体"/>
          <w:sz w:val="24"/>
        </w:rPr>
        <w:t>1.定期考核结果作为当次周期（三个月）付款依据，考核分值中师生满意度评分占40%，校区相关科室月度考核综合评分占30%，物业考核小组评分占30%。</w:t>
      </w:r>
    </w:p>
    <w:p w14:paraId="7318EF48">
      <w:pPr>
        <w:spacing w:line="360" w:lineRule="auto"/>
        <w:ind w:firstLine="480" w:firstLineChars="200"/>
        <w:rPr>
          <w:rFonts w:hint="eastAsia" w:ascii="宋体" w:hAnsi="宋体"/>
          <w:sz w:val="24"/>
        </w:rPr>
      </w:pPr>
      <w:r>
        <w:rPr>
          <w:rFonts w:hint="eastAsia" w:ascii="宋体" w:hAnsi="宋体"/>
          <w:sz w:val="24"/>
        </w:rPr>
        <w:t>（1）考核结果为A级的：全额支付当次周期物业服务费用；</w:t>
      </w:r>
    </w:p>
    <w:p w14:paraId="60F3A8EF">
      <w:pPr>
        <w:spacing w:line="360" w:lineRule="auto"/>
        <w:ind w:firstLine="480" w:firstLineChars="200"/>
        <w:rPr>
          <w:rFonts w:hint="eastAsia" w:ascii="宋体" w:hAnsi="宋体"/>
          <w:sz w:val="24"/>
        </w:rPr>
      </w:pPr>
      <w:r>
        <w:rPr>
          <w:rFonts w:hint="eastAsia" w:ascii="宋体" w:hAnsi="宋体"/>
          <w:sz w:val="24"/>
        </w:rPr>
        <w:t>（2）考核结果为B级的：扣减当次周期应付物业服务费用的0.5%；</w:t>
      </w:r>
    </w:p>
    <w:p w14:paraId="5BE710DE">
      <w:pPr>
        <w:spacing w:line="360" w:lineRule="auto"/>
        <w:ind w:firstLine="480" w:firstLineChars="200"/>
        <w:rPr>
          <w:rFonts w:hint="eastAsia" w:ascii="宋体" w:hAnsi="宋体"/>
          <w:sz w:val="24"/>
        </w:rPr>
      </w:pPr>
      <w:r>
        <w:rPr>
          <w:rFonts w:hint="eastAsia" w:ascii="宋体" w:hAnsi="宋体"/>
          <w:sz w:val="24"/>
        </w:rPr>
        <w:t>（3）考核结果为C级的：扣减当次周期应付物业服务费用的1.5%；</w:t>
      </w:r>
    </w:p>
    <w:p w14:paraId="18076C7F">
      <w:pPr>
        <w:spacing w:line="360" w:lineRule="auto"/>
        <w:ind w:firstLine="480" w:firstLineChars="200"/>
        <w:rPr>
          <w:rFonts w:hint="eastAsia" w:ascii="宋体" w:hAnsi="宋体"/>
          <w:sz w:val="24"/>
        </w:rPr>
      </w:pPr>
      <w:r>
        <w:rPr>
          <w:rFonts w:hint="eastAsia" w:ascii="宋体" w:hAnsi="宋体"/>
          <w:sz w:val="24"/>
        </w:rPr>
        <w:t>（4）考核结果为D级的：扣减当次周期应付物业服务费用的5%；</w:t>
      </w:r>
    </w:p>
    <w:p w14:paraId="0BA2A784">
      <w:pPr>
        <w:spacing w:line="360" w:lineRule="auto"/>
        <w:ind w:firstLine="480" w:firstLineChars="200"/>
        <w:rPr>
          <w:rFonts w:hint="eastAsia" w:ascii="宋体" w:hAnsi="宋体"/>
          <w:sz w:val="24"/>
        </w:rPr>
      </w:pPr>
      <w:r>
        <w:rPr>
          <w:rFonts w:hint="eastAsia" w:ascii="宋体" w:hAnsi="宋体"/>
          <w:sz w:val="24"/>
        </w:rPr>
        <w:t>（5）考核结果为E级的：扣减当次周期应付物业服务费用的20%。</w:t>
      </w:r>
    </w:p>
    <w:p w14:paraId="44D2D820">
      <w:pPr>
        <w:spacing w:line="360" w:lineRule="auto"/>
        <w:ind w:firstLine="480" w:firstLineChars="200"/>
        <w:rPr>
          <w:rFonts w:hint="eastAsia" w:ascii="宋体" w:hAnsi="宋体"/>
          <w:sz w:val="24"/>
        </w:rPr>
      </w:pPr>
      <w:r>
        <w:rPr>
          <w:rFonts w:hint="eastAsia" w:ascii="宋体" w:hAnsi="宋体"/>
          <w:sz w:val="24"/>
        </w:rPr>
        <w:t>2.不定期考核结果运用</w:t>
      </w:r>
    </w:p>
    <w:p w14:paraId="03E12CA1">
      <w:pPr>
        <w:spacing w:line="360" w:lineRule="auto"/>
        <w:ind w:firstLine="480" w:firstLineChars="200"/>
        <w:rPr>
          <w:rFonts w:hint="eastAsia" w:ascii="宋体" w:hAnsi="宋体"/>
          <w:sz w:val="24"/>
        </w:rPr>
      </w:pPr>
      <w:r>
        <w:rPr>
          <w:rFonts w:hint="eastAsia" w:ascii="宋体" w:hAnsi="宋体"/>
          <w:sz w:val="24"/>
        </w:rPr>
        <w:t>（1）考核结果为B级、C级的，物业托管服务单位应当针对考核中提出的问题进行及时整改，在规定期限内未能完成整改的，后勤与基建管理处视具体情况，给予每条整改意见200-500元扣款。</w:t>
      </w:r>
    </w:p>
    <w:p w14:paraId="59175BE7">
      <w:pPr>
        <w:spacing w:line="360" w:lineRule="auto"/>
        <w:ind w:firstLine="480" w:firstLineChars="200"/>
        <w:rPr>
          <w:rFonts w:hint="eastAsia" w:ascii="宋体" w:hAnsi="宋体"/>
          <w:sz w:val="24"/>
        </w:rPr>
      </w:pPr>
      <w:r>
        <w:rPr>
          <w:rFonts w:hint="eastAsia" w:ascii="宋体" w:hAnsi="宋体"/>
          <w:sz w:val="24"/>
        </w:rPr>
        <w:t>（2）考核结果为D级及以下的，物业托管服务单位应当针对考核中提出的问题进行及时整改，在规定期限内未能完成整改的，后勤与基建管理处视具体情况，给予未整改的每条意见500-1000元扣款。</w:t>
      </w:r>
    </w:p>
    <w:p w14:paraId="0AF1D35E">
      <w:pPr>
        <w:spacing w:line="360" w:lineRule="auto"/>
        <w:ind w:firstLine="480" w:firstLineChars="200"/>
        <w:rPr>
          <w:rFonts w:hint="eastAsia" w:ascii="宋体" w:hAnsi="宋体"/>
          <w:sz w:val="24"/>
        </w:rPr>
      </w:pPr>
      <w:r>
        <w:rPr>
          <w:rFonts w:hint="eastAsia" w:ascii="宋体" w:hAnsi="宋体"/>
          <w:sz w:val="24"/>
        </w:rPr>
        <w:t>3.综合考核结果的其他运用</w:t>
      </w:r>
    </w:p>
    <w:p w14:paraId="6D95CE9D">
      <w:pPr>
        <w:spacing w:line="360" w:lineRule="auto"/>
        <w:ind w:firstLine="480" w:firstLineChars="200"/>
        <w:rPr>
          <w:rFonts w:hint="eastAsia" w:ascii="宋体" w:hAnsi="宋体"/>
          <w:sz w:val="24"/>
        </w:rPr>
      </w:pPr>
      <w:r>
        <w:rPr>
          <w:rFonts w:hint="eastAsia" w:ascii="宋体" w:hAnsi="宋体"/>
          <w:sz w:val="24"/>
        </w:rPr>
        <w:t>（1）定期考核与不定期考核综合评定为D等级的，学校有权要求物业托管服务单位采取有力措施提高物业服务质量。一年周期内，两次考核评定为D级的，视为物业托管服务单位不积极履行合同义务，学校有权提前解除合同，不支付剩余周期的物业服务费，履约保证金不退。</w:t>
      </w:r>
    </w:p>
    <w:p w14:paraId="14801CD1">
      <w:pPr>
        <w:spacing w:line="360" w:lineRule="auto"/>
        <w:ind w:firstLine="480" w:firstLineChars="200"/>
        <w:rPr>
          <w:rFonts w:hint="eastAsia" w:ascii="宋体" w:hAnsi="宋体"/>
          <w:sz w:val="24"/>
        </w:rPr>
      </w:pPr>
      <w:r>
        <w:rPr>
          <w:rFonts w:hint="eastAsia" w:ascii="宋体" w:hAnsi="宋体"/>
          <w:sz w:val="24"/>
        </w:rPr>
        <w:t>（2）定期考核与不定期考核综合评定为E等级的，视为物业托管服务单位不积极履行合同义务，学校有权提前解除合同，不支付剩余周期的物业服务费，履约保证金不退。</w:t>
      </w:r>
    </w:p>
    <w:p w14:paraId="6E528985">
      <w:pPr>
        <w:spacing w:line="360" w:lineRule="auto"/>
        <w:ind w:firstLine="480" w:firstLineChars="200"/>
        <w:rPr>
          <w:rFonts w:hint="eastAsia" w:ascii="宋体" w:hAnsi="宋体"/>
          <w:b/>
          <w:color w:val="000000"/>
          <w:sz w:val="24"/>
        </w:rPr>
      </w:pPr>
      <w:r>
        <w:rPr>
          <w:rFonts w:hint="eastAsia" w:ascii="宋体" w:hAnsi="宋体"/>
          <w:sz w:val="24"/>
        </w:rPr>
        <w:t>（3）年度内定期考核与不定期考核均为优秀的，可作为年度考核评优的优先推荐单位。</w:t>
      </w:r>
    </w:p>
    <w:p w14:paraId="5B5AC282">
      <w:pPr>
        <w:spacing w:line="360" w:lineRule="auto"/>
        <w:ind w:firstLine="480" w:firstLineChars="200"/>
        <w:rPr>
          <w:rFonts w:hint="eastAsia" w:ascii="宋体" w:hAnsi="宋体"/>
          <w:b/>
          <w:color w:val="000000"/>
          <w:sz w:val="24"/>
        </w:rPr>
      </w:pPr>
      <w:r>
        <w:rPr>
          <w:rFonts w:hint="eastAsia" w:ascii="宋体" w:hAnsi="宋体"/>
          <w:b/>
          <w:color w:val="000000"/>
          <w:sz w:val="24"/>
        </w:rPr>
        <w:t>八、付款方式与履约保证金</w:t>
      </w:r>
    </w:p>
    <w:p w14:paraId="5ADA23CC">
      <w:pPr>
        <w:spacing w:line="500" w:lineRule="exact"/>
        <w:ind w:firstLine="482"/>
        <w:jc w:val="left"/>
        <w:rPr>
          <w:rFonts w:hint="eastAsia" w:ascii="Times New Roman" w:hAnsi="Times New Roman"/>
          <w:b/>
          <w:sz w:val="24"/>
          <w:szCs w:val="24"/>
          <w:lang w:bidi="ar"/>
        </w:rPr>
      </w:pPr>
      <w:r>
        <w:rPr>
          <w:rFonts w:hint="eastAsia" w:ascii="Times New Roman" w:hAnsi="Times New Roman"/>
          <w:b/>
          <w:sz w:val="24"/>
          <w:szCs w:val="24"/>
          <w:lang w:bidi="ar"/>
        </w:rPr>
        <w:t>1.付款方式：根据考核结果每三个月支付一次服务费用。采购人自收到中标人开具的正规发票后30日内将资金支付至合同约定的中标人账户。</w:t>
      </w:r>
    </w:p>
    <w:p w14:paraId="3D832FF0">
      <w:pPr>
        <w:spacing w:line="500" w:lineRule="exact"/>
        <w:ind w:firstLine="482"/>
        <w:jc w:val="left"/>
        <w:rPr>
          <w:rFonts w:hint="eastAsia" w:ascii="Times New Roman" w:hAnsi="Times New Roman"/>
          <w:b/>
          <w:sz w:val="24"/>
          <w:szCs w:val="24"/>
          <w:lang w:bidi="ar"/>
        </w:rPr>
      </w:pPr>
      <w:r>
        <w:rPr>
          <w:rFonts w:hint="eastAsia" w:ascii="Times New Roman" w:hAnsi="Times New Roman"/>
          <w:b/>
          <w:sz w:val="24"/>
          <w:szCs w:val="24"/>
          <w:lang w:bidi="ar"/>
        </w:rPr>
        <w:t>2.履约保证金：本项目收取履约保证金，金额为合同金额的  1  %。</w:t>
      </w:r>
    </w:p>
    <w:p w14:paraId="0F06D13F">
      <w:pPr>
        <w:spacing w:line="360" w:lineRule="auto"/>
        <w:ind w:firstLine="480" w:firstLineChars="200"/>
        <w:rPr>
          <w:rFonts w:hint="eastAsia" w:ascii="宋体" w:hAnsi="宋体"/>
          <w:sz w:val="24"/>
        </w:rPr>
      </w:pPr>
      <w:r>
        <w:rPr>
          <w:rFonts w:hint="eastAsia" w:ascii="宋体" w:hAnsi="宋体"/>
          <w:sz w:val="24"/>
        </w:rPr>
        <w:t>中标人应当以支票、汇票、本票或者金融机构、担保机构出具的保函等非现金形式在合同签订前提交。</w:t>
      </w:r>
      <w:r>
        <w:rPr>
          <w:rFonts w:ascii="宋体" w:hAnsi="宋体"/>
          <w:sz w:val="24"/>
        </w:rPr>
        <w:t>履</w:t>
      </w:r>
      <w:r>
        <w:rPr>
          <w:rFonts w:hint="eastAsia" w:ascii="宋体" w:hAnsi="宋体"/>
          <w:sz w:val="24"/>
        </w:rPr>
        <w:t>约保证金自合同生效之日起至合同约定的中标人主要义务履行完毕止，采购人按合同约定退还履约保证金。</w:t>
      </w:r>
    </w:p>
    <w:p w14:paraId="0FFEA57B">
      <w:pPr>
        <w:spacing w:line="360" w:lineRule="auto"/>
        <w:ind w:firstLine="480" w:firstLineChars="200"/>
        <w:rPr>
          <w:rFonts w:hint="eastAsia" w:ascii="宋体" w:hAnsi="宋体"/>
          <w:sz w:val="24"/>
        </w:rPr>
      </w:pPr>
      <w:r>
        <w:rPr>
          <w:rFonts w:hint="eastAsia" w:ascii="宋体" w:hAnsi="宋体"/>
          <w:sz w:val="24"/>
        </w:rPr>
        <w:t>中标人违约的，采购人将按照合同约定扣除其全部或部分履约保证金。如中标人违约给采购人造成的损失超过履约保证金的，应当依法赔偿超过部分的损失。</w:t>
      </w:r>
    </w:p>
    <w:p w14:paraId="48C0E354">
      <w:pPr>
        <w:spacing w:line="360" w:lineRule="auto"/>
        <w:ind w:firstLine="480" w:firstLineChars="200"/>
        <w:rPr>
          <w:rFonts w:hint="eastAsia" w:ascii="宋体" w:hAnsi="宋体"/>
          <w:sz w:val="24"/>
        </w:rPr>
      </w:pPr>
      <w:r>
        <w:rPr>
          <w:rFonts w:hint="eastAsia" w:ascii="宋体" w:hAnsi="宋体"/>
          <w:sz w:val="24"/>
        </w:rPr>
        <w:t>逾期退还履约保证金的采购人承担违约责任，按照中国人民银行同期贷款基准利率支付超期资金占用费。</w:t>
      </w:r>
    </w:p>
    <w:p w14:paraId="364A42C8">
      <w:pPr>
        <w:spacing w:line="360" w:lineRule="auto"/>
        <w:ind w:firstLine="480" w:firstLineChars="200"/>
        <w:rPr>
          <w:rFonts w:hint="eastAsia" w:ascii="宋体" w:hAnsi="宋体"/>
          <w:b/>
          <w:color w:val="000000"/>
          <w:sz w:val="24"/>
        </w:rPr>
      </w:pPr>
      <w:r>
        <w:rPr>
          <w:rFonts w:hint="eastAsia" w:ascii="宋体" w:hAnsi="宋体"/>
          <w:b/>
          <w:color w:val="000000"/>
          <w:sz w:val="24"/>
        </w:rPr>
        <w:t>九、报价要求</w:t>
      </w:r>
    </w:p>
    <w:p w14:paraId="10C9B5FA">
      <w:pPr>
        <w:spacing w:line="360" w:lineRule="auto"/>
        <w:ind w:firstLine="480" w:firstLineChars="200"/>
        <w:rPr>
          <w:rFonts w:hint="eastAsia"/>
          <w:sz w:val="24"/>
        </w:rPr>
      </w:pPr>
      <w:r>
        <w:rPr>
          <w:rFonts w:hint="eastAsia" w:ascii="宋体" w:hAnsi="宋体"/>
          <w:sz w:val="24"/>
        </w:rPr>
        <w:t>1.投标报价要求：包含管理人员和服务人员的工资、五险、公共保险、福利、耗材、设备、维修、服装、</w:t>
      </w:r>
      <w:r>
        <w:rPr>
          <w:rFonts w:hint="eastAsia" w:ascii="宋体" w:hAnsi="宋体" w:cs="宋体"/>
          <w:sz w:val="24"/>
        </w:rPr>
        <w:t>税费、合理利润以及完成招标文件规定的服务工作所涉及到的一切相关费用</w:t>
      </w:r>
      <w:r>
        <w:rPr>
          <w:rFonts w:hint="eastAsia" w:ascii="宋体" w:hAnsi="宋体"/>
          <w:sz w:val="24"/>
        </w:rPr>
        <w:t>。</w:t>
      </w:r>
      <w:r>
        <w:rPr>
          <w:rFonts w:hint="eastAsia" w:ascii="宋体" w:hAnsi="宋体" w:cs="宋体"/>
          <w:color w:val="000000"/>
          <w:sz w:val="24"/>
        </w:rPr>
        <w:t>所有聘用人员均须按规定缴纳养老保险金、工伤保险、医疗保险金、失业保险金、生育保险金、补充医疗保险等。</w:t>
      </w:r>
    </w:p>
    <w:p w14:paraId="77336FB3">
      <w:pPr>
        <w:adjustRightInd w:val="0"/>
        <w:spacing w:line="360" w:lineRule="auto"/>
        <w:ind w:firstLine="480" w:firstLineChars="200"/>
        <w:rPr>
          <w:rFonts w:ascii="宋体" w:hAnsi="宋体" w:cs="宋体"/>
          <w:sz w:val="24"/>
        </w:rPr>
      </w:pPr>
      <w:r>
        <w:rPr>
          <w:rFonts w:hint="eastAsia" w:ascii="宋体" w:hAnsi="宋体" w:cs="宋体"/>
          <w:sz w:val="24"/>
        </w:rPr>
        <w:t>2.投标人应采用分项报价最终汇总的方式进行，标明拟提供服务的单价和总价，详细分析各项费用组成（表格自拟）。</w:t>
      </w:r>
    </w:p>
    <w:p w14:paraId="205BCF3E">
      <w:pPr>
        <w:spacing w:line="360" w:lineRule="auto"/>
        <w:ind w:firstLine="480" w:firstLineChars="200"/>
        <w:rPr>
          <w:rFonts w:ascii="宋体" w:hAnsi="宋体"/>
          <w:sz w:val="24"/>
        </w:rPr>
      </w:pPr>
      <w:r>
        <w:rPr>
          <w:rFonts w:hint="eastAsia" w:ascii="宋体" w:hAnsi="宋体" w:cs="宋体"/>
          <w:sz w:val="24"/>
        </w:rPr>
        <w:t>3.</w:t>
      </w:r>
      <w:r>
        <w:rPr>
          <w:rFonts w:hint="eastAsia" w:ascii="䅂䍄䕅⯋컌" w:hAnsi="䅂䍄䕅⯋컌" w:eastAsia="䅂䍄䕅⯋컌" w:cs="䅂䍄䕅⯋컌"/>
          <w:color w:val="000000"/>
          <w:kern w:val="0"/>
          <w:sz w:val="24"/>
          <w:lang w:bidi="ar"/>
        </w:rPr>
        <w:t>中标人</w:t>
      </w:r>
      <w:r>
        <w:rPr>
          <w:rFonts w:ascii="䅂䍄䕅⯋컌" w:hAnsi="䅂䍄䕅⯋컌" w:eastAsia="䅂䍄䕅⯋컌" w:cs="䅂䍄䕅⯋컌"/>
          <w:color w:val="000000"/>
          <w:kern w:val="0"/>
          <w:sz w:val="24"/>
          <w:lang w:bidi="ar"/>
        </w:rPr>
        <w:t>自行承担物业服务人员劳动报酬，并按《劳动合同法》等规定缴纳相应保险，</w:t>
      </w:r>
      <w:r>
        <w:rPr>
          <w:rFonts w:hint="eastAsia" w:ascii="宋体" w:hAnsi="宋体" w:cs="宋体"/>
          <w:sz w:val="24"/>
        </w:rPr>
        <w:t>必须与招聘人员签订用工合同，并将合同复印件报给采购人。</w:t>
      </w:r>
      <w:r>
        <w:rPr>
          <w:rFonts w:ascii="䅂䍄䕅⯋컌" w:hAnsi="䅂䍄䕅⯋컌" w:eastAsia="䅂䍄䕅⯋컌" w:cs="䅂䍄䕅⯋컌"/>
          <w:color w:val="000000"/>
          <w:kern w:val="0"/>
          <w:sz w:val="24"/>
          <w:lang w:bidi="ar"/>
        </w:rPr>
        <w:t>所聘用人员工资及</w:t>
      </w:r>
      <w:r>
        <w:rPr>
          <w:rFonts w:hint="eastAsia" w:ascii="䅂䍄䕅⯋컌" w:hAnsi="䅂䍄䕅⯋컌" w:cs="䅂䍄䕅⯋컌"/>
          <w:color w:val="000000"/>
          <w:kern w:val="0"/>
          <w:sz w:val="24"/>
          <w:lang w:bidi="ar"/>
        </w:rPr>
        <w:t>六</w:t>
      </w:r>
      <w:r>
        <w:rPr>
          <w:rFonts w:ascii="䅂䍄䕅⯋컌" w:hAnsi="䅂䍄䕅⯋컌" w:eastAsia="䅂䍄䕅⯋컌" w:cs="䅂䍄䕅⯋컌"/>
          <w:color w:val="000000"/>
          <w:kern w:val="0"/>
          <w:sz w:val="24"/>
          <w:lang w:bidi="ar"/>
        </w:rPr>
        <w:t>险不能低于项目所在地最低工资标准等规定，不得发生拖欠员工工资等情况</w:t>
      </w:r>
      <w:r>
        <w:rPr>
          <w:rFonts w:hint="eastAsia" w:ascii="䅂䍄䕅⯋컌" w:hAnsi="䅂䍄䕅⯋컌" w:eastAsia="䅂䍄䕅⯋컌" w:cs="䅂䍄䕅⯋컌"/>
          <w:color w:val="000000"/>
          <w:kern w:val="0"/>
          <w:sz w:val="24"/>
          <w:lang w:bidi="ar"/>
        </w:rPr>
        <w:t>，</w:t>
      </w:r>
      <w:r>
        <w:rPr>
          <w:rFonts w:hint="eastAsia" w:ascii="宋体" w:hAnsi="宋体" w:cs="宋体"/>
          <w:sz w:val="24"/>
        </w:rPr>
        <w:t>发生任何的经济、法律纠纷和人身损害赔偿等，由中标人自行解决，与采购人无关。</w:t>
      </w:r>
      <w:r>
        <w:rPr>
          <w:rFonts w:ascii="䅂䍄䕅⯋컌" w:hAnsi="䅂䍄䕅⯋컌" w:eastAsia="䅂䍄䕅⯋컌" w:cs="䅂䍄䕅⯋컌"/>
          <w:color w:val="000000"/>
          <w:kern w:val="0"/>
          <w:sz w:val="24"/>
          <w:lang w:bidi="ar"/>
        </w:rPr>
        <w:t>在合同期内不得因国家提高最低工资标准、保险金比例等因素而调整合同价格，</w:t>
      </w:r>
      <w:r>
        <w:rPr>
          <w:rFonts w:hint="eastAsia" w:ascii="宋体" w:hAnsi="宋体"/>
          <w:sz w:val="24"/>
        </w:rPr>
        <w:t>投标人在报价时综合考虑在内，中标后不予调整。</w:t>
      </w:r>
    </w:p>
    <w:p w14:paraId="37148CC1">
      <w:pPr>
        <w:adjustRightInd w:val="0"/>
        <w:spacing w:line="360" w:lineRule="auto"/>
        <w:ind w:firstLine="480" w:firstLineChars="200"/>
        <w:rPr>
          <w:rFonts w:hint="eastAsia"/>
        </w:rPr>
      </w:pPr>
      <w:r>
        <w:rPr>
          <w:rFonts w:hint="eastAsia" w:ascii="宋体" w:hAnsi="宋体" w:cs="宋体"/>
          <w:sz w:val="24"/>
        </w:rPr>
        <w:t>4.因中标人员工责任造成采购方财产损失的，由中标人负责赔偿。</w:t>
      </w:r>
      <w:r>
        <w:rPr>
          <w:rFonts w:hint="eastAsia" w:ascii="䅂䍄䕅⯋컌" w:hAnsi="䅂䍄䕅⯋컌" w:eastAsia="䅂䍄䕅⯋컌" w:cs="䅂䍄䕅⯋컌"/>
          <w:color w:val="000000"/>
          <w:kern w:val="0"/>
          <w:sz w:val="24"/>
          <w:lang w:bidi="ar"/>
        </w:rPr>
        <w:t>中标人员工</w:t>
      </w:r>
      <w:r>
        <w:rPr>
          <w:rFonts w:ascii="䅂䍄䕅⯋컌" w:hAnsi="䅂䍄䕅⯋컌" w:eastAsia="䅂䍄䕅⯋컌" w:cs="䅂䍄䕅⯋컌"/>
          <w:color w:val="000000"/>
          <w:kern w:val="0"/>
          <w:sz w:val="24"/>
          <w:lang w:bidi="ar"/>
        </w:rPr>
        <w:t>在校园工作期间发生人身伤害和重大事故等所有相关事宜由</w:t>
      </w:r>
      <w:r>
        <w:rPr>
          <w:rFonts w:hint="eastAsia" w:ascii="䅂䍄䕅⯋컌" w:hAnsi="䅂䍄䕅⯋컌" w:eastAsia="䅂䍄䕅⯋컌" w:cs="䅂䍄䕅⯋컌"/>
          <w:color w:val="000000"/>
          <w:kern w:val="0"/>
          <w:sz w:val="24"/>
          <w:lang w:bidi="ar"/>
        </w:rPr>
        <w:t>中标人</w:t>
      </w:r>
      <w:r>
        <w:rPr>
          <w:rFonts w:ascii="䅂䍄䕅⯋컌" w:hAnsi="䅂䍄䕅⯋컌" w:eastAsia="䅂䍄䕅⯋컌" w:cs="䅂䍄䕅⯋컌"/>
          <w:color w:val="000000"/>
          <w:kern w:val="0"/>
          <w:sz w:val="24"/>
          <w:lang w:bidi="ar"/>
        </w:rPr>
        <w:t>全部负责。</w:t>
      </w:r>
    </w:p>
    <w:p w14:paraId="218C3449">
      <w:pPr>
        <w:spacing w:line="360" w:lineRule="auto"/>
        <w:ind w:firstLine="480" w:firstLineChars="200"/>
        <w:rPr>
          <w:rFonts w:hint="eastAsia" w:ascii="宋体" w:hAnsi="宋体"/>
          <w:b/>
          <w:bCs/>
          <w:sz w:val="24"/>
        </w:rPr>
      </w:pPr>
      <w:r>
        <w:rPr>
          <w:rFonts w:hint="eastAsia" w:ascii="宋体" w:hAnsi="宋体"/>
          <w:b/>
          <w:bCs/>
          <w:sz w:val="24"/>
        </w:rPr>
        <w:t>十、现场考察</w:t>
      </w:r>
    </w:p>
    <w:p w14:paraId="6A689A08">
      <w:pPr>
        <w:spacing w:line="440" w:lineRule="exact"/>
        <w:ind w:firstLine="480" w:firstLineChars="200"/>
        <w:rPr>
          <w:rFonts w:hint="eastAsia" w:ascii="宋体" w:hAnsi="宋体" w:cs="宋体"/>
          <w:bCs/>
          <w:sz w:val="24"/>
        </w:rPr>
      </w:pPr>
      <w:r>
        <w:rPr>
          <w:rFonts w:hint="eastAsia" w:ascii="宋体" w:hAnsi="宋体" w:cs="宋体"/>
          <w:bCs/>
          <w:sz w:val="24"/>
        </w:rPr>
        <w:t>因本项目服务范围广且分散，涉及到校园楼宇、绿化及维修范围等内容，为了避免投标人无法掌握现场的实际情况，建议投标人进行现场考察，采购人会提供必要的协助，让投标人充分了解现场情况以及投标报价所需的相关数据。如投标人因对现场资料和数据所作出的推论、解释和结论影响投标报价、方案编制等由此造成的后果由投标人自行承担。</w:t>
      </w:r>
    </w:p>
    <w:p w14:paraId="68B079FC">
      <w:pPr>
        <w:spacing w:line="440" w:lineRule="exact"/>
        <w:ind w:firstLine="480" w:firstLineChars="200"/>
        <w:rPr>
          <w:rFonts w:hint="eastAsia" w:ascii="宋体" w:hAnsi="宋体" w:cs="宋体"/>
          <w:bCs/>
          <w:sz w:val="24"/>
        </w:rPr>
      </w:pPr>
      <w:r>
        <w:rPr>
          <w:rFonts w:hint="eastAsia" w:ascii="宋体" w:hAnsi="宋体" w:cs="宋体"/>
          <w:bCs/>
          <w:sz w:val="24"/>
        </w:rPr>
        <w:t>因中标人自身原因现场考察不全面的，中标后不得因此提出修改投标报价或提出索赔等要求，不得以此为由拒绝签署合同或履行所约定的各项义务。项目履约过程无法满足采购人实际需要的，造成的所有损失由投标人自行承担并承担一切法律责任。</w:t>
      </w:r>
    </w:p>
    <w:p w14:paraId="1A25507C">
      <w:pPr>
        <w:spacing w:line="360" w:lineRule="auto"/>
        <w:ind w:firstLine="480" w:firstLineChars="200"/>
        <w:rPr>
          <w:rFonts w:hint="eastAsia" w:ascii="宋体" w:hAnsi="宋体" w:cs="宋体"/>
          <w:b/>
          <w:i/>
          <w:iCs/>
          <w:sz w:val="24"/>
          <w:u w:val="single"/>
        </w:rPr>
      </w:pPr>
      <w:r>
        <w:rPr>
          <w:rFonts w:hint="eastAsia" w:ascii="宋体" w:hAnsi="宋体" w:cs="宋体"/>
          <w:bCs/>
          <w:sz w:val="24"/>
        </w:rPr>
        <w:t>考察前请提前联系，预约时间，考察时请携带授权委托书和有效身份证，现场考察的费用由投标人自行承担。</w:t>
      </w:r>
    </w:p>
    <w:p w14:paraId="0B0BF4EB">
      <w:pPr>
        <w:keepNext w:val="0"/>
        <w:keepLines w:val="0"/>
        <w:pageBreakBefore w:val="0"/>
        <w:kinsoku w:val="0"/>
        <w:wordWrap/>
        <w:overflowPunct/>
        <w:topLinePunct w:val="0"/>
        <w:autoSpaceDE w:val="0"/>
        <w:autoSpaceDN w:val="0"/>
        <w:bidi w:val="0"/>
        <w:adjustRightInd w:val="0"/>
        <w:snapToGrid w:val="0"/>
        <w:spacing w:line="500" w:lineRule="exact"/>
        <w:ind w:firstLine="480" w:firstLineChars="200"/>
        <w:jc w:val="both"/>
        <w:textAlignment w:val="baseline"/>
        <w:rPr>
          <w:rFonts w:hint="eastAsia" w:ascii="黑体" w:hAnsi="黑体" w:eastAsia="黑体"/>
          <w:b w:val="0"/>
          <w:bCs w:val="0"/>
          <w:sz w:val="24"/>
          <w:szCs w:val="24"/>
          <w:lang w:eastAsia="zh-CN"/>
        </w:rPr>
      </w:pPr>
      <w:r>
        <w:rPr>
          <w:rFonts w:hint="eastAsia" w:ascii="黑体" w:hAnsi="黑体" w:eastAsia="黑体"/>
          <w:b w:val="0"/>
          <w:bCs w:val="0"/>
          <w:sz w:val="24"/>
          <w:szCs w:val="24"/>
          <w:lang w:val="en-US" w:eastAsia="zh-CN"/>
        </w:rPr>
        <w:t>四、评分办法（</w:t>
      </w:r>
      <w:r>
        <w:rPr>
          <w:rFonts w:hint="eastAsia" w:ascii="黑体" w:hAnsi="黑体" w:eastAsia="黑体"/>
          <w:b w:val="0"/>
          <w:bCs w:val="0"/>
          <w:sz w:val="24"/>
          <w:szCs w:val="24"/>
        </w:rPr>
        <w:t>综合评分法</w:t>
      </w:r>
      <w:r>
        <w:rPr>
          <w:rFonts w:hint="eastAsia" w:ascii="黑体" w:hAnsi="黑体" w:eastAsia="黑体"/>
          <w:b w:val="0"/>
          <w:bCs w:val="0"/>
          <w:sz w:val="24"/>
          <w:szCs w:val="24"/>
          <w:lang w:eastAsia="zh-CN"/>
        </w:rPr>
        <w:t>）</w:t>
      </w:r>
    </w:p>
    <w:p w14:paraId="738E0110">
      <w:pPr>
        <w:spacing w:line="500" w:lineRule="exact"/>
        <w:ind w:firstLine="482"/>
        <w:jc w:val="left"/>
        <w:rPr>
          <w:rFonts w:eastAsia="Arial"/>
          <w:b/>
          <w:sz w:val="24"/>
        </w:rPr>
      </w:pPr>
      <w:r>
        <w:rPr>
          <w:rFonts w:eastAsia="Arial"/>
          <w:b/>
          <w:sz w:val="24"/>
          <w:lang w:bidi="ar"/>
        </w:rPr>
        <w:t>1.</w:t>
      </w:r>
      <w:r>
        <w:rPr>
          <w:b/>
          <w:sz w:val="24"/>
          <w:lang w:bidi="ar"/>
        </w:rPr>
        <w:t>价格分</w:t>
      </w:r>
    </w:p>
    <w:p w14:paraId="13520BCF">
      <w:pPr>
        <w:spacing w:line="500" w:lineRule="exact"/>
        <w:ind w:firstLine="480"/>
        <w:jc w:val="left"/>
        <w:rPr>
          <w:sz w:val="24"/>
          <w:lang w:bidi="ar"/>
        </w:rPr>
      </w:pPr>
      <w:r>
        <w:rPr>
          <w:sz w:val="24"/>
          <w:lang w:bidi="ar"/>
        </w:rPr>
        <w:t>采用低价优先法计算，即满足招标文件要求且投标价格最低的投标报价为评标基准价，其价格分为满分。</w:t>
      </w:r>
    </w:p>
    <w:p w14:paraId="3131E32E">
      <w:pPr>
        <w:spacing w:line="500" w:lineRule="exact"/>
        <w:ind w:firstLine="480"/>
        <w:jc w:val="left"/>
        <w:rPr>
          <w:rFonts w:eastAsia="Arial"/>
          <w:b/>
          <w:sz w:val="24"/>
          <w:lang w:bidi="ar"/>
        </w:rPr>
      </w:pPr>
      <w:r>
        <w:rPr>
          <w:rFonts w:hint="eastAsia" w:ascii="宋体" w:hAnsi="宋体" w:cs="宋体"/>
          <w:color w:val="000000"/>
          <w:sz w:val="24"/>
        </w:rPr>
        <w:t>因落实政府采购政策进行价格调整的，以调整后的价格计算评标基准价和投标报价，小数点后保留两位（四舍五入）。</w:t>
      </w:r>
    </w:p>
    <w:p w14:paraId="58E6EAA7">
      <w:pPr>
        <w:spacing w:line="360" w:lineRule="auto"/>
        <w:ind w:firstLine="482"/>
        <w:rPr>
          <w:b/>
          <w:sz w:val="24"/>
          <w:lang w:bidi="ar"/>
        </w:rPr>
      </w:pPr>
      <w:r>
        <w:rPr>
          <w:rFonts w:eastAsia="Arial"/>
          <w:b/>
          <w:sz w:val="24"/>
          <w:lang w:bidi="ar"/>
        </w:rPr>
        <w:t>2.</w:t>
      </w:r>
      <w:r>
        <w:rPr>
          <w:rFonts w:hint="eastAsia"/>
          <w:b/>
          <w:sz w:val="24"/>
          <w:lang w:bidi="ar"/>
        </w:rPr>
        <w:t>商务</w:t>
      </w:r>
      <w:r>
        <w:rPr>
          <w:b/>
          <w:sz w:val="24"/>
          <w:lang w:bidi="ar"/>
        </w:rPr>
        <w:t>技术分</w:t>
      </w:r>
    </w:p>
    <w:tbl>
      <w:tblPr>
        <w:tblStyle w:val="8"/>
        <w:tblW w:w="84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47"/>
        <w:gridCol w:w="22"/>
        <w:gridCol w:w="6626"/>
        <w:gridCol w:w="48"/>
      </w:tblGrid>
      <w:tr w14:paraId="64BFC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747" w:type="dxa"/>
            <w:tcBorders>
              <w:top w:val="single" w:color="000000" w:sz="4" w:space="0"/>
              <w:left w:val="single" w:color="000000" w:sz="4" w:space="0"/>
              <w:bottom w:val="single" w:color="000000" w:sz="4" w:space="0"/>
              <w:right w:val="single" w:color="000000" w:sz="4" w:space="0"/>
            </w:tcBorders>
            <w:noWrap w:val="0"/>
            <w:vAlign w:val="center"/>
          </w:tcPr>
          <w:p w14:paraId="407278E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Arial"/>
                <w:b/>
                <w:color w:val="000000"/>
                <w:sz w:val="24"/>
              </w:rPr>
            </w:pPr>
            <w:r>
              <w:rPr>
                <w:b/>
                <w:color w:val="000000"/>
                <w:sz w:val="24"/>
                <w:lang w:bidi="ar"/>
              </w:rPr>
              <w:t>评审因素</w:t>
            </w:r>
          </w:p>
        </w:tc>
        <w:tc>
          <w:tcPr>
            <w:tcW w:w="6696" w:type="dxa"/>
            <w:gridSpan w:val="3"/>
            <w:tcBorders>
              <w:top w:val="single" w:color="000000" w:sz="4" w:space="0"/>
              <w:left w:val="single" w:color="000000" w:sz="4" w:space="0"/>
              <w:bottom w:val="single" w:color="000000" w:sz="4" w:space="0"/>
              <w:right w:val="single" w:color="000000" w:sz="4" w:space="0"/>
            </w:tcBorders>
            <w:noWrap w:val="0"/>
            <w:vAlign w:val="center"/>
          </w:tcPr>
          <w:p w14:paraId="66FBBD2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Arial"/>
                <w:b/>
                <w:sz w:val="24"/>
              </w:rPr>
            </w:pPr>
            <w:r>
              <w:rPr>
                <w:b/>
                <w:sz w:val="24"/>
                <w:lang w:bidi="ar"/>
              </w:rPr>
              <w:t>评审标准</w:t>
            </w:r>
          </w:p>
        </w:tc>
      </w:tr>
      <w:tr w14:paraId="35B91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47" w:type="dxa"/>
            <w:tcBorders>
              <w:top w:val="single" w:color="000000" w:sz="4" w:space="0"/>
              <w:left w:val="single" w:color="000000" w:sz="4" w:space="0"/>
              <w:bottom w:val="single" w:color="000000" w:sz="4" w:space="0"/>
              <w:right w:val="single" w:color="000000" w:sz="4" w:space="0"/>
            </w:tcBorders>
            <w:noWrap w:val="0"/>
            <w:vAlign w:val="center"/>
          </w:tcPr>
          <w:p w14:paraId="2E5F509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szCs w:val="21"/>
                <w:lang w:bidi="ar"/>
              </w:rPr>
            </w:pPr>
            <w:r>
              <w:rPr>
                <w:rFonts w:hint="eastAsia"/>
                <w:szCs w:val="21"/>
                <w:lang w:bidi="ar"/>
              </w:rPr>
              <w:t>整体方案</w:t>
            </w:r>
          </w:p>
          <w:p w14:paraId="6BC832C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eastAsia="Arial"/>
                <w:szCs w:val="21"/>
              </w:rPr>
            </w:pPr>
          </w:p>
        </w:tc>
        <w:tc>
          <w:tcPr>
            <w:tcW w:w="6696" w:type="dxa"/>
            <w:gridSpan w:val="3"/>
            <w:tcBorders>
              <w:top w:val="single" w:color="000000" w:sz="4" w:space="0"/>
              <w:left w:val="single" w:color="000000" w:sz="4" w:space="0"/>
              <w:bottom w:val="single" w:color="000000" w:sz="4" w:space="0"/>
              <w:right w:val="single" w:color="000000" w:sz="4" w:space="0"/>
            </w:tcBorders>
            <w:noWrap w:val="0"/>
            <w:vAlign w:val="top"/>
          </w:tcPr>
          <w:p w14:paraId="6D964A6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eastAsia="Arial"/>
                <w:szCs w:val="21"/>
              </w:rPr>
            </w:pPr>
            <w:r>
              <w:rPr>
                <w:szCs w:val="21"/>
                <w:lang w:bidi="ar"/>
              </w:rPr>
              <w:t>投标人</w:t>
            </w:r>
            <w:r>
              <w:rPr>
                <w:rFonts w:hint="eastAsia"/>
                <w:szCs w:val="21"/>
                <w:lang w:bidi="ar"/>
              </w:rPr>
              <w:t>根据采购需求</w:t>
            </w:r>
            <w:r>
              <w:rPr>
                <w:szCs w:val="21"/>
                <w:lang w:bidi="ar"/>
              </w:rPr>
              <w:t>提供项目的整体方案，内容包含但不限于对项目总体理解、定位、针对性方案（比如国考、省考保障，重大活动保障，校园</w:t>
            </w:r>
            <w:r>
              <w:rPr>
                <w:rFonts w:hint="eastAsia"/>
                <w:szCs w:val="21"/>
                <w:lang w:bidi="ar"/>
              </w:rPr>
              <w:t>保洁，</w:t>
            </w:r>
            <w:r>
              <w:rPr>
                <w:szCs w:val="21"/>
                <w:lang w:bidi="ar"/>
              </w:rPr>
              <w:t>安全巡检，节能管理，</w:t>
            </w:r>
            <w:r>
              <w:rPr>
                <w:rFonts w:hint="eastAsia"/>
                <w:szCs w:val="21"/>
                <w:lang w:bidi="ar"/>
              </w:rPr>
              <w:t>绿化养护，小型维修，</w:t>
            </w:r>
            <w:r>
              <w:rPr>
                <w:szCs w:val="21"/>
                <w:lang w:bidi="ar"/>
              </w:rPr>
              <w:t>教室管理，新生报到，假期服务管理，校园文化建设，节假日氛围营造等）</w:t>
            </w:r>
            <w:r>
              <w:rPr>
                <w:rFonts w:hint="eastAsia"/>
                <w:szCs w:val="21"/>
                <w:lang w:bidi="ar"/>
              </w:rPr>
              <w:t>及</w:t>
            </w:r>
            <w:r>
              <w:rPr>
                <w:szCs w:val="21"/>
                <w:lang w:bidi="ar"/>
              </w:rPr>
              <w:t>合理化建议等：</w:t>
            </w:r>
          </w:p>
        </w:tc>
      </w:tr>
      <w:tr w14:paraId="7B04B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47" w:type="dxa"/>
            <w:tcBorders>
              <w:top w:val="single" w:color="000000" w:sz="4" w:space="0"/>
              <w:left w:val="single" w:color="000000" w:sz="4" w:space="0"/>
              <w:bottom w:val="single" w:color="000000" w:sz="4" w:space="0"/>
              <w:right w:val="single" w:color="000000" w:sz="4" w:space="0"/>
            </w:tcBorders>
            <w:noWrap w:val="0"/>
            <w:vAlign w:val="center"/>
          </w:tcPr>
          <w:p w14:paraId="74F994C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eastAsia="Arial"/>
                <w:szCs w:val="21"/>
              </w:rPr>
            </w:pPr>
            <w:r>
              <w:rPr>
                <w:szCs w:val="21"/>
                <w:lang w:bidi="ar"/>
              </w:rPr>
              <w:t>规章制度</w:t>
            </w:r>
            <w:r>
              <w:rPr>
                <w:rFonts w:hint="eastAsia"/>
                <w:szCs w:val="21"/>
                <w:lang w:bidi="ar"/>
              </w:rPr>
              <w:t>方案</w:t>
            </w:r>
          </w:p>
        </w:tc>
        <w:tc>
          <w:tcPr>
            <w:tcW w:w="6696" w:type="dxa"/>
            <w:gridSpan w:val="3"/>
            <w:tcBorders>
              <w:top w:val="single" w:color="000000" w:sz="4" w:space="0"/>
              <w:left w:val="single" w:color="000000" w:sz="4" w:space="0"/>
              <w:bottom w:val="single" w:color="000000" w:sz="4" w:space="0"/>
              <w:right w:val="single" w:color="000000" w:sz="4" w:space="0"/>
            </w:tcBorders>
            <w:noWrap w:val="0"/>
            <w:vAlign w:val="top"/>
          </w:tcPr>
          <w:p w14:paraId="123E056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eastAsia="Arial"/>
                <w:szCs w:val="21"/>
              </w:rPr>
            </w:pPr>
            <w:r>
              <w:rPr>
                <w:szCs w:val="21"/>
                <w:lang w:bidi="ar"/>
              </w:rPr>
              <w:t>投标人</w:t>
            </w:r>
            <w:r>
              <w:rPr>
                <w:rFonts w:hint="eastAsia"/>
                <w:szCs w:val="21"/>
                <w:lang w:bidi="ar"/>
              </w:rPr>
              <w:t>根据采购需求</w:t>
            </w:r>
            <w:r>
              <w:rPr>
                <w:szCs w:val="21"/>
                <w:lang w:bidi="ar"/>
              </w:rPr>
              <w:t>提供规章制度</w:t>
            </w:r>
            <w:r>
              <w:rPr>
                <w:rFonts w:hint="eastAsia"/>
                <w:szCs w:val="21"/>
                <w:lang w:bidi="ar"/>
              </w:rPr>
              <w:t>方案</w:t>
            </w:r>
            <w:r>
              <w:rPr>
                <w:szCs w:val="21"/>
                <w:lang w:bidi="ar"/>
              </w:rPr>
              <w:t>，内容包含但不限于合理的奖惩、考核制度、建立自查表格、工作流程等规章制度：</w:t>
            </w:r>
          </w:p>
        </w:tc>
      </w:tr>
      <w:tr w14:paraId="034B5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747" w:type="dxa"/>
            <w:tcBorders>
              <w:top w:val="single" w:color="000000" w:sz="4" w:space="0"/>
              <w:left w:val="single" w:color="000000" w:sz="4" w:space="0"/>
              <w:bottom w:val="single" w:color="000000" w:sz="4" w:space="0"/>
              <w:right w:val="single" w:color="000000" w:sz="4" w:space="0"/>
            </w:tcBorders>
            <w:noWrap w:val="0"/>
            <w:vAlign w:val="center"/>
          </w:tcPr>
          <w:p w14:paraId="7842E7E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eastAsia="Arial"/>
                <w:szCs w:val="21"/>
              </w:rPr>
            </w:pPr>
            <w:r>
              <w:rPr>
                <w:szCs w:val="21"/>
                <w:lang w:bidi="ar"/>
              </w:rPr>
              <w:t>日常管理</w:t>
            </w:r>
            <w:r>
              <w:rPr>
                <w:rFonts w:hint="eastAsia"/>
                <w:szCs w:val="21"/>
                <w:lang w:bidi="ar"/>
              </w:rPr>
              <w:t>及物资配备方案</w:t>
            </w:r>
          </w:p>
        </w:tc>
        <w:tc>
          <w:tcPr>
            <w:tcW w:w="6696" w:type="dxa"/>
            <w:gridSpan w:val="3"/>
            <w:tcBorders>
              <w:top w:val="single" w:color="000000" w:sz="4" w:space="0"/>
              <w:left w:val="single" w:color="000000" w:sz="4" w:space="0"/>
              <w:bottom w:val="single" w:color="000000" w:sz="4" w:space="0"/>
              <w:right w:val="single" w:color="000000" w:sz="4" w:space="0"/>
            </w:tcBorders>
            <w:noWrap w:val="0"/>
            <w:vAlign w:val="top"/>
          </w:tcPr>
          <w:p w14:paraId="4E4E801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eastAsia="Arial"/>
                <w:szCs w:val="21"/>
              </w:rPr>
            </w:pPr>
            <w:r>
              <w:rPr>
                <w:szCs w:val="21"/>
                <w:lang w:bidi="ar"/>
              </w:rPr>
              <w:t>投标人</w:t>
            </w:r>
            <w:r>
              <w:rPr>
                <w:rFonts w:hint="eastAsia"/>
                <w:szCs w:val="21"/>
                <w:lang w:bidi="ar"/>
              </w:rPr>
              <w:t>根据采购需求</w:t>
            </w:r>
            <w:r>
              <w:rPr>
                <w:szCs w:val="21"/>
                <w:lang w:bidi="ar"/>
              </w:rPr>
              <w:t>提供日常管理标准方案</w:t>
            </w:r>
            <w:r>
              <w:rPr>
                <w:rFonts w:hint="eastAsia"/>
                <w:szCs w:val="21"/>
                <w:lang w:bidi="ar"/>
              </w:rPr>
              <w:t>，</w:t>
            </w:r>
            <w:r>
              <w:rPr>
                <w:szCs w:val="21"/>
                <w:lang w:bidi="ar"/>
              </w:rPr>
              <w:t>物资装备的配备及使用方案：</w:t>
            </w:r>
          </w:p>
        </w:tc>
      </w:tr>
      <w:tr w14:paraId="3E514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47" w:type="dxa"/>
            <w:tcBorders>
              <w:top w:val="single" w:color="000000" w:sz="4" w:space="0"/>
              <w:left w:val="single" w:color="000000" w:sz="4" w:space="0"/>
              <w:bottom w:val="single" w:color="000000" w:sz="4" w:space="0"/>
              <w:right w:val="single" w:color="000000" w:sz="4" w:space="0"/>
            </w:tcBorders>
            <w:noWrap w:val="0"/>
            <w:vAlign w:val="center"/>
          </w:tcPr>
          <w:p w14:paraId="5A246625">
            <w:pPr>
              <w:spacing w:line="440" w:lineRule="exact"/>
              <w:jc w:val="center"/>
              <w:rPr>
                <w:rFonts w:eastAsia="Arial"/>
                <w:szCs w:val="21"/>
              </w:rPr>
            </w:pPr>
            <w:r>
              <w:rPr>
                <w:szCs w:val="21"/>
                <w:lang w:bidi="ar"/>
              </w:rPr>
              <w:t>人员配备及管理方案</w:t>
            </w:r>
          </w:p>
        </w:tc>
        <w:tc>
          <w:tcPr>
            <w:tcW w:w="6696" w:type="dxa"/>
            <w:gridSpan w:val="3"/>
            <w:tcBorders>
              <w:top w:val="single" w:color="000000" w:sz="4" w:space="0"/>
              <w:left w:val="single" w:color="000000" w:sz="4" w:space="0"/>
              <w:bottom w:val="single" w:color="000000" w:sz="4" w:space="0"/>
              <w:right w:val="single" w:color="000000" w:sz="4" w:space="0"/>
            </w:tcBorders>
            <w:noWrap w:val="0"/>
            <w:vAlign w:val="center"/>
          </w:tcPr>
          <w:p w14:paraId="1709F4FD">
            <w:pPr>
              <w:spacing w:line="360" w:lineRule="exact"/>
              <w:rPr>
                <w:rFonts w:eastAsia="Arial"/>
                <w:b/>
                <w:bCs/>
                <w:szCs w:val="21"/>
              </w:rPr>
            </w:pPr>
            <w:r>
              <w:rPr>
                <w:szCs w:val="21"/>
                <w:lang w:bidi="ar"/>
              </w:rPr>
              <w:t>投标人</w:t>
            </w:r>
            <w:r>
              <w:rPr>
                <w:rFonts w:hint="eastAsia"/>
                <w:szCs w:val="21"/>
                <w:lang w:bidi="ar"/>
              </w:rPr>
              <w:t>根据采购需求</w:t>
            </w:r>
            <w:r>
              <w:rPr>
                <w:szCs w:val="21"/>
                <w:lang w:bidi="ar"/>
              </w:rPr>
              <w:t>提供人员配备及管理方案。内容包含但不限于根据本项目要求合理制定服务人员配备及管理情况、遇到突发事情、学校重大活动等人员调配使用计划等：</w:t>
            </w:r>
          </w:p>
        </w:tc>
      </w:tr>
      <w:tr w14:paraId="5C37E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47" w:type="dxa"/>
            <w:tcBorders>
              <w:top w:val="single" w:color="000000" w:sz="4" w:space="0"/>
              <w:left w:val="single" w:color="000000" w:sz="4" w:space="0"/>
              <w:bottom w:val="single" w:color="000000" w:sz="4" w:space="0"/>
              <w:right w:val="single" w:color="000000" w:sz="4" w:space="0"/>
            </w:tcBorders>
            <w:noWrap w:val="0"/>
            <w:vAlign w:val="center"/>
          </w:tcPr>
          <w:p w14:paraId="5D47B95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eastAsia="Arial"/>
                <w:szCs w:val="21"/>
              </w:rPr>
            </w:pPr>
            <w:r>
              <w:rPr>
                <w:szCs w:val="21"/>
                <w:lang w:bidi="ar"/>
              </w:rPr>
              <w:t>培训方案</w:t>
            </w:r>
            <w:r>
              <w:rPr>
                <w:bCs/>
                <w:szCs w:val="21"/>
                <w:lang w:bidi="ar"/>
              </w:rPr>
              <w:t>、安全文明作业</w:t>
            </w:r>
          </w:p>
        </w:tc>
        <w:tc>
          <w:tcPr>
            <w:tcW w:w="6696" w:type="dxa"/>
            <w:gridSpan w:val="3"/>
            <w:tcBorders>
              <w:top w:val="single" w:color="000000" w:sz="4" w:space="0"/>
              <w:left w:val="single" w:color="000000" w:sz="4" w:space="0"/>
              <w:bottom w:val="single" w:color="000000" w:sz="4" w:space="0"/>
              <w:right w:val="single" w:color="000000" w:sz="4" w:space="0"/>
            </w:tcBorders>
            <w:noWrap w:val="0"/>
            <w:vAlign w:val="top"/>
          </w:tcPr>
          <w:p w14:paraId="3C48673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eastAsia="Arial"/>
                <w:szCs w:val="21"/>
              </w:rPr>
            </w:pPr>
            <w:r>
              <w:rPr>
                <w:szCs w:val="21"/>
                <w:lang w:bidi="ar"/>
              </w:rPr>
              <w:t>投标人</w:t>
            </w:r>
            <w:r>
              <w:rPr>
                <w:rFonts w:hint="eastAsia"/>
                <w:szCs w:val="21"/>
                <w:lang w:bidi="ar"/>
              </w:rPr>
              <w:t>根据采购需求</w:t>
            </w:r>
            <w:r>
              <w:rPr>
                <w:szCs w:val="21"/>
                <w:lang w:bidi="ar"/>
              </w:rPr>
              <w:t>提供人员培训</w:t>
            </w:r>
            <w:r>
              <w:rPr>
                <w:rFonts w:hint="eastAsia"/>
                <w:szCs w:val="21"/>
                <w:lang w:bidi="ar"/>
              </w:rPr>
              <w:t>方案，保证</w:t>
            </w:r>
            <w:r>
              <w:rPr>
                <w:szCs w:val="21"/>
                <w:lang w:bidi="ar"/>
              </w:rPr>
              <w:t>安全作业、文明作业，内容包括但不限于各类人员的培训计划、方式、目标及言行规范、仪容仪表、公众形象、技术能力</w:t>
            </w:r>
            <w:r>
              <w:rPr>
                <w:rFonts w:hint="eastAsia"/>
                <w:szCs w:val="21"/>
                <w:lang w:bidi="ar"/>
              </w:rPr>
              <w:t>等</w:t>
            </w:r>
            <w:r>
              <w:rPr>
                <w:szCs w:val="21"/>
                <w:lang w:bidi="ar"/>
              </w:rPr>
              <w:t>：</w:t>
            </w:r>
          </w:p>
        </w:tc>
      </w:tr>
      <w:tr w14:paraId="6716C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47" w:type="dxa"/>
            <w:tcBorders>
              <w:top w:val="single" w:color="000000" w:sz="4" w:space="0"/>
              <w:left w:val="single" w:color="000000" w:sz="4" w:space="0"/>
              <w:bottom w:val="single" w:color="000000" w:sz="4" w:space="0"/>
              <w:right w:val="single" w:color="000000" w:sz="4" w:space="0"/>
            </w:tcBorders>
            <w:noWrap w:val="0"/>
            <w:vAlign w:val="center"/>
          </w:tcPr>
          <w:p w14:paraId="6A103C9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eastAsia="Arial"/>
                <w:szCs w:val="21"/>
              </w:rPr>
            </w:pPr>
            <w:r>
              <w:rPr>
                <w:szCs w:val="21"/>
                <w:lang w:bidi="ar"/>
              </w:rPr>
              <w:t>作业和进退场交接方案</w:t>
            </w:r>
          </w:p>
        </w:tc>
        <w:tc>
          <w:tcPr>
            <w:tcW w:w="6696" w:type="dxa"/>
            <w:gridSpan w:val="3"/>
            <w:tcBorders>
              <w:top w:val="single" w:color="000000" w:sz="4" w:space="0"/>
              <w:left w:val="single" w:color="000000" w:sz="4" w:space="0"/>
              <w:bottom w:val="single" w:color="000000" w:sz="4" w:space="0"/>
              <w:right w:val="single" w:color="000000" w:sz="4" w:space="0"/>
            </w:tcBorders>
            <w:noWrap w:val="0"/>
            <w:vAlign w:val="top"/>
          </w:tcPr>
          <w:p w14:paraId="3D04804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eastAsia="Arial"/>
                <w:szCs w:val="21"/>
              </w:rPr>
            </w:pPr>
            <w:r>
              <w:rPr>
                <w:szCs w:val="21"/>
                <w:lang w:bidi="ar"/>
              </w:rPr>
              <w:t>投标人</w:t>
            </w:r>
            <w:r>
              <w:rPr>
                <w:rFonts w:hint="eastAsia"/>
                <w:szCs w:val="21"/>
                <w:lang w:bidi="ar"/>
              </w:rPr>
              <w:t>根据采购需求</w:t>
            </w:r>
            <w:r>
              <w:rPr>
                <w:szCs w:val="21"/>
                <w:lang w:bidi="ar"/>
              </w:rPr>
              <w:t>提供详细的进退场交接方案，内容包括但不限于进场前与前一服务单位的工作任务、档案交接的详细方案、进场后工作安排以及合同到期后与交接单位的工作任务、档案等交接工作的详细方案</w:t>
            </w:r>
            <w:r>
              <w:rPr>
                <w:rFonts w:hint="eastAsia"/>
                <w:szCs w:val="21"/>
                <w:lang w:bidi="ar"/>
              </w:rPr>
              <w:t>等</w:t>
            </w:r>
            <w:r>
              <w:rPr>
                <w:szCs w:val="21"/>
                <w:lang w:bidi="ar"/>
              </w:rPr>
              <w:t>：</w:t>
            </w:r>
          </w:p>
        </w:tc>
      </w:tr>
      <w:tr w14:paraId="049D3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47" w:type="dxa"/>
            <w:tcBorders>
              <w:top w:val="single" w:color="000000" w:sz="4" w:space="0"/>
              <w:left w:val="single" w:color="000000" w:sz="4" w:space="0"/>
              <w:bottom w:val="single" w:color="000000" w:sz="4" w:space="0"/>
              <w:right w:val="single" w:color="000000" w:sz="4" w:space="0"/>
            </w:tcBorders>
            <w:noWrap w:val="0"/>
            <w:vAlign w:val="center"/>
          </w:tcPr>
          <w:p w14:paraId="6DB332C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eastAsia="Arial"/>
                <w:bCs/>
                <w:szCs w:val="21"/>
              </w:rPr>
            </w:pPr>
            <w:r>
              <w:rPr>
                <w:bCs/>
                <w:szCs w:val="21"/>
                <w:lang w:bidi="ar"/>
              </w:rPr>
              <w:t>应急处理</w:t>
            </w:r>
          </w:p>
          <w:p w14:paraId="3B86B94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eastAsia="Arial"/>
                <w:bCs/>
                <w:szCs w:val="21"/>
              </w:rPr>
            </w:pPr>
            <w:r>
              <w:rPr>
                <w:bCs/>
                <w:szCs w:val="21"/>
                <w:lang w:bidi="ar"/>
              </w:rPr>
              <w:t>预案</w:t>
            </w:r>
          </w:p>
        </w:tc>
        <w:tc>
          <w:tcPr>
            <w:tcW w:w="6696" w:type="dxa"/>
            <w:gridSpan w:val="3"/>
            <w:tcBorders>
              <w:top w:val="single" w:color="000000" w:sz="4" w:space="0"/>
              <w:left w:val="single" w:color="000000" w:sz="4" w:space="0"/>
              <w:bottom w:val="single" w:color="000000" w:sz="4" w:space="0"/>
              <w:right w:val="single" w:color="000000" w:sz="4" w:space="0"/>
            </w:tcBorders>
            <w:noWrap w:val="0"/>
            <w:vAlign w:val="top"/>
          </w:tcPr>
          <w:p w14:paraId="11527535">
            <w:pPr>
              <w:spacing w:line="360" w:lineRule="exact"/>
              <w:rPr>
                <w:rFonts w:eastAsia="Arial"/>
                <w:bCs/>
                <w:szCs w:val="21"/>
              </w:rPr>
            </w:pPr>
            <w:r>
              <w:rPr>
                <w:szCs w:val="21"/>
                <w:lang w:bidi="ar"/>
              </w:rPr>
              <w:t>投标人</w:t>
            </w:r>
            <w:r>
              <w:rPr>
                <w:rFonts w:hint="eastAsia"/>
                <w:szCs w:val="21"/>
                <w:lang w:bidi="ar"/>
              </w:rPr>
              <w:t>根据采购需求</w:t>
            </w:r>
            <w:r>
              <w:rPr>
                <w:szCs w:val="21"/>
                <w:lang w:bidi="ar"/>
              </w:rPr>
              <w:t>对各种突发事件制定应急处理预案。内容包含但不限于停电、停水、火灾、盗窃、突发公共事件处理预案、自然灾害(台风、冰雪霜冻、内涝)处理预案、相关保障措施等：</w:t>
            </w:r>
          </w:p>
        </w:tc>
      </w:tr>
      <w:tr w14:paraId="2E9D7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 w:type="dxa"/>
          <w:trHeight w:val="595" w:hRule="atLeast"/>
          <w:jc w:val="center"/>
        </w:trPr>
        <w:tc>
          <w:tcPr>
            <w:tcW w:w="1769" w:type="dxa"/>
            <w:gridSpan w:val="2"/>
            <w:noWrap w:val="0"/>
            <w:vAlign w:val="center"/>
          </w:tcPr>
          <w:p w14:paraId="3D3A7A0E">
            <w:pPr>
              <w:spacing w:line="360" w:lineRule="auto"/>
              <w:rPr>
                <w:rFonts w:ascii="宋体" w:hAnsi="宋体" w:cs="宋体"/>
                <w:bCs/>
                <w:color w:val="000000"/>
                <w:szCs w:val="21"/>
              </w:rPr>
            </w:pPr>
            <w:r>
              <w:rPr>
                <w:rFonts w:eastAsia="Arial"/>
                <w:b/>
                <w:sz w:val="24"/>
                <w:lang w:bidi="ar"/>
              </w:rPr>
              <w:t xml:space="preserve"> </w:t>
            </w:r>
            <w:r>
              <w:rPr>
                <w:rFonts w:hint="eastAsia"/>
                <w:bCs/>
                <w:color w:val="000000"/>
                <w:szCs w:val="21"/>
                <w:lang w:bidi="ar"/>
              </w:rPr>
              <w:t>项目实施保障</w:t>
            </w:r>
          </w:p>
        </w:tc>
        <w:tc>
          <w:tcPr>
            <w:tcW w:w="6626" w:type="dxa"/>
            <w:noWrap w:val="0"/>
            <w:vAlign w:val="top"/>
          </w:tcPr>
          <w:p w14:paraId="6A8287A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宋体" w:hAnsi="宋体" w:cs="宋体"/>
                <w:bCs/>
                <w:szCs w:val="21"/>
              </w:rPr>
            </w:pPr>
            <w:r>
              <w:rPr>
                <w:rFonts w:hint="eastAsia" w:ascii="宋体" w:hAnsi="宋体" w:cs="宋体"/>
                <w:bCs/>
                <w:szCs w:val="21"/>
              </w:rPr>
              <w:t>1.投标人通过质量管理体系认证且在有效期内。</w:t>
            </w:r>
          </w:p>
          <w:p w14:paraId="679C7BA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宋体" w:hAnsi="宋体" w:cs="宋体"/>
                <w:bCs/>
                <w:szCs w:val="21"/>
              </w:rPr>
            </w:pPr>
            <w:r>
              <w:rPr>
                <w:rFonts w:hint="eastAsia" w:ascii="宋体" w:hAnsi="宋体" w:cs="宋体"/>
                <w:bCs/>
                <w:szCs w:val="21"/>
              </w:rPr>
              <w:t>2.投标人通过职业健康安全管理体系认证且在有效期内。</w:t>
            </w:r>
          </w:p>
          <w:p w14:paraId="4BABE62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宋体" w:hAnsi="宋体" w:cs="宋体"/>
                <w:bCs/>
                <w:szCs w:val="21"/>
              </w:rPr>
            </w:pPr>
            <w:r>
              <w:rPr>
                <w:rFonts w:hint="eastAsia" w:ascii="宋体" w:hAnsi="宋体" w:cs="宋体"/>
                <w:bCs/>
                <w:szCs w:val="21"/>
              </w:rPr>
              <w:t>3.投标人通过环境管理体系认证且在有效期内。</w:t>
            </w:r>
          </w:p>
          <w:p w14:paraId="5DD6D48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宋体" w:hAnsi="宋体" w:cs="宋体"/>
                <w:bCs/>
                <w:szCs w:val="21"/>
              </w:rPr>
            </w:pPr>
            <w:r>
              <w:rPr>
                <w:rFonts w:hint="eastAsia" w:ascii="宋体" w:hAnsi="宋体" w:cs="宋体"/>
                <w:bCs/>
                <w:szCs w:val="21"/>
              </w:rPr>
              <w:t>4.投标人通过能源管理体系认证且在有效期内。</w:t>
            </w:r>
          </w:p>
          <w:p w14:paraId="67F597C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宋体" w:hAnsi="宋体" w:cs="宋体"/>
                <w:bCs/>
                <w:szCs w:val="21"/>
              </w:rPr>
            </w:pPr>
            <w:r>
              <w:rPr>
                <w:rFonts w:hint="eastAsia" w:ascii="宋体" w:hAnsi="宋体" w:cs="宋体"/>
                <w:b/>
                <w:bCs/>
                <w:szCs w:val="21"/>
                <w:lang w:bidi="ar"/>
              </w:rPr>
              <w:t>（上述1-4项投标文件中提供：①有效认证证书扫描件、复印件或电子件并加盖投标人公章；②中国国家认证认可监督管理委员会官网查询截图并加盖投标人公章；未提供的本项不得分。）</w:t>
            </w:r>
          </w:p>
        </w:tc>
      </w:tr>
      <w:tr w14:paraId="7D8D6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 w:type="dxa"/>
          <w:trHeight w:val="614" w:hRule="atLeast"/>
          <w:jc w:val="center"/>
        </w:trPr>
        <w:tc>
          <w:tcPr>
            <w:tcW w:w="1769" w:type="dxa"/>
            <w:gridSpan w:val="2"/>
            <w:noWrap w:val="0"/>
            <w:vAlign w:val="center"/>
          </w:tcPr>
          <w:p w14:paraId="1653C59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bCs/>
                <w:color w:val="000000"/>
                <w:szCs w:val="21"/>
              </w:rPr>
            </w:pPr>
            <w:r>
              <w:rPr>
                <w:rFonts w:hint="eastAsia" w:ascii="宋体" w:hAnsi="宋体" w:cs="宋体"/>
                <w:bCs/>
                <w:color w:val="000000"/>
                <w:szCs w:val="21"/>
                <w:lang w:eastAsia="en-US"/>
              </w:rPr>
              <w:t>企业</w:t>
            </w:r>
            <w:r>
              <w:rPr>
                <w:rFonts w:hint="eastAsia" w:ascii="宋体" w:hAnsi="宋体" w:cs="宋体"/>
                <w:bCs/>
                <w:color w:val="000000"/>
                <w:szCs w:val="21"/>
              </w:rPr>
              <w:t>业绩</w:t>
            </w:r>
          </w:p>
          <w:p w14:paraId="678634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bCs/>
                <w:color w:val="000000"/>
                <w:szCs w:val="21"/>
              </w:rPr>
            </w:pPr>
          </w:p>
        </w:tc>
        <w:tc>
          <w:tcPr>
            <w:tcW w:w="6626" w:type="dxa"/>
            <w:noWrap w:val="0"/>
            <w:vAlign w:val="top"/>
          </w:tcPr>
          <w:p w14:paraId="37440DE9">
            <w:pPr>
              <w:spacing w:line="360" w:lineRule="exact"/>
              <w:rPr>
                <w:rFonts w:ascii="宋体" w:hAnsi="宋体" w:cs="宋体"/>
                <w:szCs w:val="21"/>
              </w:rPr>
            </w:pPr>
            <w:r>
              <w:rPr>
                <w:rFonts w:hint="eastAsia" w:ascii="宋体" w:hAnsi="宋体" w:cs="宋体"/>
                <w:szCs w:val="21"/>
                <w:lang w:bidi="ar"/>
              </w:rPr>
              <w:t>1</w:t>
            </w:r>
            <w:r>
              <w:rPr>
                <w:rFonts w:hint="eastAsia" w:ascii="宋体" w:hAnsi="宋体" w:eastAsia="宋体" w:cs="宋体"/>
                <w:szCs w:val="21"/>
                <w:lang w:eastAsia="zh-CN" w:bidi="ar"/>
              </w:rPr>
              <w:t>.</w:t>
            </w:r>
            <w:r>
              <w:rPr>
                <w:rFonts w:hint="eastAsia" w:ascii="宋体" w:hAnsi="宋体" w:cs="宋体"/>
                <w:szCs w:val="21"/>
              </w:rPr>
              <w:t>自2023年1月1（含）日以来（以合同起始时间为准），投标人承担过校园物业管理服务项目，合同内容至少同时包含校园和楼宇保洁服务、绿化养护、工程维修相关服务内容，每有一个</w:t>
            </w:r>
            <w:r>
              <w:rPr>
                <w:rFonts w:hint="eastAsia" w:ascii="宋体" w:hAnsi="宋体" w:cs="宋体"/>
                <w:bCs/>
                <w:szCs w:val="21"/>
              </w:rPr>
              <w:t>得2分（同一服务对象单位只计入1份有效业绩）</w:t>
            </w:r>
            <w:r>
              <w:rPr>
                <w:rFonts w:hint="eastAsia" w:ascii="宋体" w:hAnsi="宋体" w:cs="宋体"/>
                <w:szCs w:val="21"/>
              </w:rPr>
              <w:t>。</w:t>
            </w:r>
          </w:p>
          <w:p w14:paraId="01196100">
            <w:pPr>
              <w:spacing w:line="360" w:lineRule="exact"/>
              <w:rPr>
                <w:rFonts w:ascii="宋体" w:hAnsi="宋体" w:cs="宋体"/>
                <w:szCs w:val="21"/>
              </w:rPr>
            </w:pPr>
            <w:r>
              <w:rPr>
                <w:rFonts w:hint="eastAsia" w:ascii="宋体" w:hAnsi="宋体" w:cs="宋体"/>
                <w:szCs w:val="21"/>
              </w:rPr>
              <w:t>2.自2023年1月1日以来，投标人承担过非校园类物业管理服务项目（非住宅类），且服务内容至少包含保洁服务、公共楼宇管理（楼宇值班）、工程维修、绿化养护中任意三个服务。</w:t>
            </w:r>
          </w:p>
          <w:p w14:paraId="3227DDEF">
            <w:pPr>
              <w:spacing w:line="360" w:lineRule="exact"/>
              <w:rPr>
                <w:rFonts w:ascii="宋体" w:hAnsi="宋体" w:cs="宋体"/>
                <w:b/>
                <w:bCs/>
                <w:szCs w:val="21"/>
              </w:rPr>
            </w:pPr>
            <w:r>
              <w:rPr>
                <w:rFonts w:hint="eastAsia" w:ascii="宋体" w:hAnsi="宋体" w:cs="宋体"/>
                <w:b/>
                <w:bCs/>
                <w:szCs w:val="21"/>
                <w:shd w:val="clear" w:color="auto" w:fill="FFFFFF"/>
              </w:rPr>
              <w:t>（</w:t>
            </w:r>
            <w:r>
              <w:rPr>
                <w:rFonts w:hint="eastAsia" w:ascii="宋体" w:hAnsi="宋体" w:cs="宋体"/>
                <w:b/>
                <w:bCs/>
                <w:szCs w:val="21"/>
              </w:rPr>
              <w:t>投标文件中同时提供合同及合同期内任意一次支付发票扫描件并加盖投标人公章，否则不得分。时间、服务内容以合同为准。</w:t>
            </w:r>
            <w:r>
              <w:rPr>
                <w:rFonts w:hint="eastAsia" w:ascii="宋体" w:hAnsi="宋体" w:cs="宋体"/>
                <w:b/>
                <w:bCs/>
                <w:szCs w:val="21"/>
                <w:shd w:val="clear" w:color="auto" w:fill="FFFFFF"/>
              </w:rPr>
              <w:t>如合同中无法体现相关服务内容的，在提供合同的基础上还须提供被服务单位出具的证明并加盖被服务单位公章，证明内容至少包含项目名称、服务单位、服务相关内容等，否则不得分。）</w:t>
            </w:r>
          </w:p>
        </w:tc>
      </w:tr>
      <w:tr w14:paraId="1E640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 w:type="dxa"/>
          <w:trHeight w:val="3192" w:hRule="atLeast"/>
          <w:jc w:val="center"/>
        </w:trPr>
        <w:tc>
          <w:tcPr>
            <w:tcW w:w="1769" w:type="dxa"/>
            <w:gridSpan w:val="2"/>
            <w:noWrap w:val="0"/>
            <w:vAlign w:val="center"/>
          </w:tcPr>
          <w:p w14:paraId="4E29028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bCs/>
                <w:color w:val="000000"/>
                <w:szCs w:val="21"/>
              </w:rPr>
            </w:pPr>
            <w:r>
              <w:rPr>
                <w:rFonts w:hint="eastAsia" w:ascii="宋体" w:hAnsi="宋体" w:cs="宋体"/>
                <w:bCs/>
                <w:color w:val="000000"/>
                <w:szCs w:val="21"/>
              </w:rPr>
              <w:t>项目经理</w:t>
            </w:r>
          </w:p>
          <w:p w14:paraId="3037ED4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bCs/>
                <w:color w:val="000000"/>
                <w:szCs w:val="21"/>
              </w:rPr>
            </w:pPr>
            <w:r>
              <w:rPr>
                <w:rFonts w:hint="eastAsia" w:ascii="宋体" w:hAnsi="宋体" w:cs="宋体"/>
                <w:bCs/>
                <w:color w:val="000000"/>
                <w:szCs w:val="21"/>
              </w:rPr>
              <w:t>（4分）</w:t>
            </w:r>
          </w:p>
        </w:tc>
        <w:tc>
          <w:tcPr>
            <w:tcW w:w="6626" w:type="dxa"/>
            <w:noWrap w:val="0"/>
            <w:vAlign w:val="top"/>
          </w:tcPr>
          <w:p w14:paraId="2F1AA3E7">
            <w:pPr>
              <w:spacing w:line="360" w:lineRule="exact"/>
              <w:rPr>
                <w:rFonts w:hint="eastAsia"/>
                <w:szCs w:val="21"/>
                <w:lang w:bidi="ar"/>
              </w:rPr>
            </w:pPr>
            <w:bookmarkStart w:id="1" w:name="_GoBack"/>
            <w:r>
              <w:rPr>
                <w:rFonts w:hint="eastAsia"/>
                <w:szCs w:val="21"/>
                <w:lang w:bidi="ar"/>
              </w:rPr>
              <w:t>1.拟派的项目经理具有本科及以上学历。</w:t>
            </w:r>
          </w:p>
          <w:p w14:paraId="290C21D6">
            <w:pPr>
              <w:spacing w:line="360" w:lineRule="exact"/>
              <w:rPr>
                <w:szCs w:val="21"/>
                <w:lang w:bidi="ar"/>
              </w:rPr>
            </w:pPr>
            <w:r>
              <w:rPr>
                <w:rFonts w:hint="eastAsia"/>
                <w:szCs w:val="21"/>
                <w:lang w:bidi="ar"/>
              </w:rPr>
              <w:t>2.拟派的项目经理自2020年1月1日以来具有连续5年及以上院校物业项目经理管理经历。</w:t>
            </w:r>
          </w:p>
          <w:p w14:paraId="24067E21">
            <w:pPr>
              <w:spacing w:line="360" w:lineRule="exact"/>
              <w:rPr>
                <w:szCs w:val="21"/>
                <w:lang w:bidi="ar"/>
              </w:rPr>
            </w:pPr>
            <w:r>
              <w:rPr>
                <w:rFonts w:hint="eastAsia"/>
                <w:szCs w:val="21"/>
                <w:lang w:bidi="ar"/>
              </w:rPr>
              <w:t>2.拟派的项目经理具有中级及以上物业管理员证书。</w:t>
            </w:r>
          </w:p>
          <w:bookmarkEnd w:id="1"/>
          <w:p w14:paraId="05B0ABF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宋体" w:hAnsi="宋体" w:cs="宋体"/>
              </w:rPr>
            </w:pPr>
            <w:r>
              <w:rPr>
                <w:rFonts w:hint="eastAsia" w:ascii="宋体" w:hAnsi="宋体" w:cs="宋体"/>
                <w:b/>
                <w:bCs/>
                <w:szCs w:val="21"/>
                <w:lang w:bidi="ar"/>
              </w:rPr>
              <w:t>上述1-3项投标文件中提供相应有效证书及2026年1月（含）以来任意1月由投标人为其缴纳社保证明材料扫描件、复印件或电子件并加盖投标人公章，提供服务对象单位出具的证明材料（带有服务对象单位公章或主管部门章，需体现聘用时间和职务）加盖公章，否则不得分。</w:t>
            </w:r>
          </w:p>
        </w:tc>
      </w:tr>
      <w:tr w14:paraId="0BC48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 w:type="dxa"/>
          <w:trHeight w:val="614" w:hRule="atLeast"/>
          <w:jc w:val="center"/>
        </w:trPr>
        <w:tc>
          <w:tcPr>
            <w:tcW w:w="1769" w:type="dxa"/>
            <w:gridSpan w:val="2"/>
            <w:noWrap w:val="0"/>
            <w:vAlign w:val="center"/>
          </w:tcPr>
          <w:p w14:paraId="40235B1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szCs w:val="21"/>
              </w:rPr>
            </w:pPr>
            <w:r>
              <w:rPr>
                <w:rFonts w:hint="eastAsia" w:ascii="宋体" w:hAnsi="宋体"/>
                <w:szCs w:val="21"/>
              </w:rPr>
              <w:t>服务团队</w:t>
            </w:r>
          </w:p>
        </w:tc>
        <w:tc>
          <w:tcPr>
            <w:tcW w:w="6626" w:type="dxa"/>
            <w:noWrap w:val="0"/>
            <w:vAlign w:val="center"/>
          </w:tcPr>
          <w:p w14:paraId="37ACC502">
            <w:pPr>
              <w:spacing w:line="360" w:lineRule="exact"/>
              <w:rPr>
                <w:rFonts w:hint="eastAsia" w:ascii="宋体" w:hAnsi="宋体" w:cs="宋体"/>
                <w:bCs/>
                <w:szCs w:val="21"/>
                <w:lang w:bidi="ar"/>
              </w:rPr>
            </w:pPr>
            <w:r>
              <w:rPr>
                <w:rFonts w:hint="eastAsia" w:ascii="宋体" w:hAnsi="宋体" w:cs="宋体"/>
                <w:bCs/>
                <w:szCs w:val="21"/>
                <w:lang w:bidi="ar"/>
              </w:rPr>
              <w:t>1.拟派的文员具有本科及以上学历；具有3年及以上院校物业文员工作经历。</w:t>
            </w:r>
          </w:p>
          <w:p w14:paraId="5D757096">
            <w:pPr>
              <w:spacing w:line="360" w:lineRule="exact"/>
              <w:rPr>
                <w:rFonts w:hint="eastAsia" w:ascii="宋体" w:hAnsi="宋体" w:cs="宋体"/>
                <w:bCs/>
                <w:szCs w:val="21"/>
                <w:lang w:bidi="ar"/>
              </w:rPr>
            </w:pPr>
            <w:r>
              <w:rPr>
                <w:rFonts w:hint="eastAsia" w:ascii="宋体" w:hAnsi="宋体" w:cs="宋体"/>
                <w:bCs/>
                <w:szCs w:val="21"/>
                <w:lang w:bidi="ar"/>
              </w:rPr>
              <w:t>2.拟派的绿化技术员（主管）具有园林、园艺相关专业本科及以上学历；具有中级及以上花卉园艺师或园林绿化工程师证书；具有三年以上绿化技术员（主管）经验。</w:t>
            </w:r>
          </w:p>
          <w:p w14:paraId="62FB4AEB">
            <w:pPr>
              <w:spacing w:line="360" w:lineRule="exact"/>
              <w:rPr>
                <w:rFonts w:hint="eastAsia" w:ascii="宋体" w:hAnsi="宋体" w:cs="宋体"/>
                <w:bCs/>
                <w:szCs w:val="21"/>
                <w:lang w:bidi="ar"/>
              </w:rPr>
            </w:pPr>
            <w:r>
              <w:rPr>
                <w:rFonts w:hint="eastAsia" w:ascii="宋体" w:hAnsi="宋体" w:cs="宋体"/>
                <w:bCs/>
                <w:szCs w:val="21"/>
                <w:lang w:bidi="ar"/>
              </w:rPr>
              <w:t>3.拟派的维修主管具有土木、机械、电气、市政相关专业本科及以上学历；具有中级以上职称或二级建造师资格。</w:t>
            </w:r>
          </w:p>
          <w:p w14:paraId="51DB2623">
            <w:pPr>
              <w:spacing w:line="360" w:lineRule="exact"/>
              <w:rPr>
                <w:rFonts w:hint="eastAsia" w:ascii="宋体" w:hAnsi="宋体" w:cs="宋体"/>
                <w:bCs/>
                <w:szCs w:val="21"/>
                <w:lang w:bidi="ar"/>
              </w:rPr>
            </w:pPr>
            <w:r>
              <w:rPr>
                <w:rFonts w:hint="eastAsia" w:ascii="宋体" w:hAnsi="宋体" w:cs="宋体"/>
                <w:bCs/>
                <w:szCs w:val="21"/>
                <w:lang w:bidi="ar"/>
              </w:rPr>
              <w:t>4.拟派的保洁主管具有本科及以上学历。</w:t>
            </w:r>
          </w:p>
          <w:p w14:paraId="07CEB370">
            <w:pPr>
              <w:spacing w:line="360" w:lineRule="exact"/>
              <w:rPr>
                <w:rFonts w:hint="eastAsia" w:ascii="宋体" w:hAnsi="宋体" w:cs="宋体"/>
                <w:bCs/>
                <w:szCs w:val="21"/>
                <w:lang w:bidi="ar"/>
              </w:rPr>
            </w:pPr>
            <w:r>
              <w:rPr>
                <w:rFonts w:hint="eastAsia" w:ascii="宋体" w:hAnsi="宋体" w:cs="宋体"/>
                <w:bCs/>
                <w:szCs w:val="21"/>
                <w:lang w:bidi="ar"/>
              </w:rPr>
              <w:t>5.拟派的电工具高中及以上学历且有应急管理部门颁发的有效期内高压电工证，同时具有3年及以上相关岗位工作经历。</w:t>
            </w:r>
          </w:p>
          <w:p w14:paraId="4BAA1E26">
            <w:pPr>
              <w:spacing w:line="360" w:lineRule="exact"/>
              <w:rPr>
                <w:rFonts w:hint="eastAsia" w:ascii="宋体" w:hAnsi="宋体" w:cs="宋体"/>
                <w:bCs/>
                <w:szCs w:val="21"/>
                <w:lang w:bidi="ar"/>
              </w:rPr>
            </w:pPr>
            <w:r>
              <w:rPr>
                <w:rFonts w:hint="eastAsia" w:ascii="宋体" w:hAnsi="宋体" w:cs="宋体"/>
                <w:bCs/>
                <w:szCs w:val="21"/>
                <w:lang w:bidi="ar"/>
              </w:rPr>
              <w:t>6.拟派维修人员具有应急管理部门颁发的低压电工。</w:t>
            </w:r>
          </w:p>
          <w:p w14:paraId="5F2B6ECD">
            <w:pPr>
              <w:spacing w:line="360" w:lineRule="exact"/>
              <w:rPr>
                <w:rFonts w:hint="eastAsia" w:ascii="宋体" w:hAnsi="宋体" w:cs="宋体"/>
                <w:bCs/>
                <w:szCs w:val="21"/>
                <w:lang w:eastAsia="zh-CN" w:bidi="ar"/>
              </w:rPr>
            </w:pPr>
            <w:r>
              <w:rPr>
                <w:rFonts w:hint="eastAsia" w:ascii="宋体" w:hAnsi="宋体" w:cs="宋体"/>
                <w:bCs/>
                <w:szCs w:val="21"/>
                <w:lang w:bidi="ar"/>
              </w:rPr>
              <w:t>7.拟派的值班人员持有有效期内的红十字救护员证</w:t>
            </w:r>
            <w:r>
              <w:rPr>
                <w:rFonts w:hint="eastAsia" w:ascii="宋体" w:hAnsi="宋体" w:cs="宋体"/>
                <w:bCs/>
                <w:szCs w:val="21"/>
                <w:lang w:eastAsia="zh-CN" w:bidi="ar"/>
              </w:rPr>
              <w:t>。</w:t>
            </w:r>
          </w:p>
          <w:p w14:paraId="650C6814">
            <w:pPr>
              <w:pStyle w:val="15"/>
              <w:spacing w:line="360" w:lineRule="exact"/>
              <w:jc w:val="both"/>
              <w:rPr>
                <w:rFonts w:ascii="宋体" w:hAnsi="宋体" w:cs="宋体"/>
                <w:b/>
                <w:bCs/>
                <w:szCs w:val="21"/>
              </w:rPr>
            </w:pPr>
            <w:r>
              <w:rPr>
                <w:rFonts w:hint="eastAsia" w:ascii="宋体" w:hAnsi="宋体" w:cs="宋体"/>
                <w:b/>
                <w:bCs/>
                <w:szCs w:val="21"/>
              </w:rPr>
              <w:t>注：以上人员需提供以下证明材料：</w:t>
            </w:r>
          </w:p>
          <w:p w14:paraId="5774A5E6">
            <w:pPr>
              <w:pStyle w:val="15"/>
              <w:spacing w:line="360" w:lineRule="exact"/>
              <w:jc w:val="both"/>
              <w:rPr>
                <w:rFonts w:ascii="宋体" w:hAnsi="宋体" w:cs="宋体"/>
                <w:b/>
                <w:bCs/>
                <w:szCs w:val="21"/>
              </w:rPr>
            </w:pPr>
            <w:r>
              <w:rPr>
                <w:rFonts w:hint="eastAsia" w:ascii="宋体" w:hAnsi="宋体" w:cs="宋体"/>
                <w:b/>
                <w:bCs/>
                <w:szCs w:val="21"/>
              </w:rPr>
              <w:t>（1）提供学历证书或职称证书或有效期内职业资格证书复印件加盖投标人公章，</w:t>
            </w:r>
            <w:r>
              <w:rPr>
                <w:rFonts w:hint="eastAsia" w:ascii="宋体" w:hAnsi="宋体" w:cs="宋体"/>
                <w:b/>
                <w:bCs/>
                <w:szCs w:val="21"/>
                <w:lang w:bidi="ar"/>
              </w:rPr>
              <w:t>其中学历证书可用加盖投标人公章的学信网认证报告代替；</w:t>
            </w:r>
          </w:p>
          <w:p w14:paraId="40D71F17">
            <w:pPr>
              <w:pStyle w:val="15"/>
              <w:spacing w:line="360" w:lineRule="exact"/>
              <w:jc w:val="both"/>
              <w:rPr>
                <w:rFonts w:ascii="宋体" w:hAnsi="宋体" w:cs="宋体"/>
                <w:b/>
                <w:bCs/>
                <w:szCs w:val="21"/>
              </w:rPr>
            </w:pPr>
            <w:r>
              <w:rPr>
                <w:rFonts w:hint="eastAsia" w:ascii="宋体" w:hAnsi="宋体" w:cs="宋体"/>
                <w:b/>
                <w:bCs/>
                <w:szCs w:val="21"/>
              </w:rPr>
              <w:t>（2）提供由服务对象法人单位（或其内设主管部门）盖章出具的工作经验证明材料；</w:t>
            </w:r>
          </w:p>
          <w:p w14:paraId="13636592">
            <w:pPr>
              <w:pStyle w:val="15"/>
              <w:spacing w:line="360" w:lineRule="exact"/>
              <w:jc w:val="both"/>
              <w:rPr>
                <w:rFonts w:ascii="宋体" w:hAnsi="宋体" w:cs="宋体"/>
                <w:szCs w:val="21"/>
              </w:rPr>
            </w:pPr>
            <w:r>
              <w:rPr>
                <w:rFonts w:hint="eastAsia" w:ascii="宋体" w:hAnsi="宋体" w:cs="宋体"/>
                <w:b/>
                <w:bCs/>
                <w:szCs w:val="21"/>
              </w:rPr>
              <w:t>（3）提供2026年1月至今任意一个月由投标人为其缴纳社保证明材料扫描件并加盖投标人公章。</w:t>
            </w:r>
          </w:p>
        </w:tc>
      </w:tr>
      <w:tr w14:paraId="61C17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 w:type="dxa"/>
          <w:trHeight w:val="614" w:hRule="atLeast"/>
          <w:jc w:val="center"/>
        </w:trPr>
        <w:tc>
          <w:tcPr>
            <w:tcW w:w="1769" w:type="dxa"/>
            <w:gridSpan w:val="2"/>
            <w:noWrap w:val="0"/>
            <w:vAlign w:val="center"/>
          </w:tcPr>
          <w:p w14:paraId="6CF491C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bCs/>
                <w:szCs w:val="21"/>
              </w:rPr>
            </w:pPr>
            <w:r>
              <w:rPr>
                <w:rFonts w:hint="eastAsia" w:ascii="宋体" w:hAnsi="宋体" w:cs="宋体"/>
                <w:bCs/>
                <w:szCs w:val="21"/>
              </w:rPr>
              <w:t>信息化管理</w:t>
            </w:r>
          </w:p>
          <w:p w14:paraId="52EEFC2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bCs/>
                <w:szCs w:val="21"/>
              </w:rPr>
            </w:pPr>
          </w:p>
        </w:tc>
        <w:tc>
          <w:tcPr>
            <w:tcW w:w="6626" w:type="dxa"/>
            <w:noWrap w:val="0"/>
            <w:vAlign w:val="top"/>
          </w:tcPr>
          <w:p w14:paraId="3FCD1A9D">
            <w:pPr>
              <w:spacing w:line="360" w:lineRule="exact"/>
              <w:rPr>
                <w:rFonts w:hint="eastAsia" w:ascii="宋体" w:hAnsi="宋体" w:cs="宋体"/>
                <w:b/>
                <w:bCs/>
                <w:szCs w:val="21"/>
              </w:rPr>
            </w:pPr>
            <w:r>
              <w:rPr>
                <w:rFonts w:hint="eastAsia" w:ascii="宋体" w:hAnsi="宋体" w:cs="宋体"/>
                <w:szCs w:val="21"/>
                <w:lang w:bidi="ar"/>
              </w:rPr>
              <w:t>1.</w:t>
            </w:r>
            <w:r>
              <w:rPr>
                <w:rFonts w:hint="eastAsia" w:ascii="宋体" w:hAnsi="宋体" w:cs="宋体"/>
                <w:bCs/>
                <w:szCs w:val="21"/>
                <w:lang w:bidi="ar"/>
              </w:rPr>
              <w:t>投标人具有物业服务相关信息化管理软件并书面承诺应用于本项目</w:t>
            </w:r>
            <w:r>
              <w:rPr>
                <w:rFonts w:hint="eastAsia" w:ascii="宋体" w:hAnsi="宋体" w:cs="宋体"/>
                <w:b/>
                <w:bCs/>
                <w:szCs w:val="21"/>
                <w:lang w:bidi="ar"/>
              </w:rPr>
              <w:t>。</w:t>
            </w:r>
          </w:p>
          <w:p w14:paraId="5581369B">
            <w:pPr>
              <w:spacing w:line="360" w:lineRule="exact"/>
              <w:rPr>
                <w:rFonts w:ascii="宋体" w:hAnsi="宋体" w:cs="宋体"/>
                <w:b/>
                <w:bCs/>
                <w:szCs w:val="21"/>
              </w:rPr>
            </w:pPr>
            <w:r>
              <w:rPr>
                <w:rFonts w:hint="eastAsia" w:ascii="宋体" w:hAnsi="宋体" w:cs="宋体"/>
                <w:b/>
                <w:bCs/>
                <w:szCs w:val="21"/>
                <w:lang w:bidi="ar"/>
              </w:rPr>
              <w:t>（投标文件中同时提供：①针对本项目使用物业服务相关信息化管理软件的承诺函并加盖投标人公章，格式自拟；②如为自有软件，投标文件中提供投标人自行开发软件著作权证书扫描件、复印件或电子件并加盖投标人公章；如为购买软件，投标文件中提供信息化管理软件购买合同及发票扫描件、复印件或电子件并加盖投标人公章；如为租赁软件，投标文件中提供软件租赁合同或租赁协议扫描件、复印件或电子件并加盖投标人公章；否则不得分。）</w:t>
            </w:r>
          </w:p>
          <w:p w14:paraId="4D910C3A">
            <w:pPr>
              <w:spacing w:line="360" w:lineRule="exact"/>
              <w:rPr>
                <w:rFonts w:ascii="宋体" w:hAnsi="宋体" w:cs="宋体"/>
                <w:b/>
                <w:bCs/>
                <w:color w:val="000000"/>
                <w:szCs w:val="21"/>
              </w:rPr>
            </w:pPr>
            <w:r>
              <w:rPr>
                <w:rFonts w:hint="eastAsia" w:ascii="宋体" w:hAnsi="宋体" w:cs="宋体"/>
                <w:szCs w:val="21"/>
                <w:lang w:bidi="ar"/>
              </w:rPr>
              <w:t>2.</w:t>
            </w:r>
            <w:r>
              <w:rPr>
                <w:rFonts w:hint="eastAsia" w:ascii="宋体" w:hAnsi="宋体" w:cs="宋体"/>
                <w:bCs/>
                <w:szCs w:val="21"/>
                <w:lang w:bidi="ar"/>
              </w:rPr>
              <w:t>投标人提供的相关信息化管理软件具有综合巡检、</w:t>
            </w:r>
            <w:r>
              <w:rPr>
                <w:rFonts w:hint="eastAsia" w:ascii="宋体" w:hAnsi="宋体" w:cs="宋体"/>
                <w:szCs w:val="21"/>
              </w:rPr>
              <w:t>工单跟踪管理</w:t>
            </w:r>
            <w:r>
              <w:rPr>
                <w:rFonts w:hint="eastAsia" w:ascii="宋体" w:hAnsi="宋体" w:cs="宋体"/>
                <w:bCs/>
                <w:szCs w:val="21"/>
              </w:rPr>
              <w:t>、</w:t>
            </w:r>
            <w:r>
              <w:rPr>
                <w:rFonts w:hint="eastAsia" w:ascii="宋体" w:hAnsi="宋体" w:cs="宋体"/>
                <w:bCs/>
                <w:szCs w:val="21"/>
                <w:lang w:bidi="ar"/>
              </w:rPr>
              <w:t>设备维保、能耗分析等功能</w:t>
            </w:r>
            <w:r>
              <w:rPr>
                <w:rFonts w:hint="eastAsia" w:ascii="宋体" w:hAnsi="宋体" w:cs="宋体"/>
                <w:b/>
                <w:bCs/>
                <w:color w:val="000000"/>
                <w:szCs w:val="21"/>
                <w:lang w:bidi="ar"/>
              </w:rPr>
              <w:t>。</w:t>
            </w:r>
          </w:p>
          <w:p w14:paraId="52170D59">
            <w:pPr>
              <w:spacing w:line="360" w:lineRule="exact"/>
              <w:rPr>
                <w:rFonts w:ascii="宋体" w:hAnsi="宋体" w:cs="宋体"/>
                <w:szCs w:val="21"/>
              </w:rPr>
            </w:pPr>
            <w:r>
              <w:rPr>
                <w:rFonts w:hint="eastAsia" w:ascii="宋体" w:hAnsi="宋体" w:cs="宋体"/>
                <w:b/>
                <w:bCs/>
                <w:color w:val="000000"/>
                <w:szCs w:val="21"/>
                <w:lang w:bidi="ar"/>
              </w:rPr>
              <w:t>（投标文件中提供功能截图，否则不得分。</w:t>
            </w:r>
            <w:r>
              <w:rPr>
                <w:rFonts w:hint="eastAsia" w:ascii="宋体" w:hAnsi="宋体" w:cs="宋体"/>
                <w:b/>
                <w:color w:val="000000"/>
                <w:szCs w:val="21"/>
                <w:lang w:bidi="ar"/>
              </w:rPr>
              <w:t>提供的截图标注属于哪一项的功能截图，便于评审。提供截图软件功能模块名称不完全一致的，投标文件中需提供相应的功能说明，由评标委员会根据提供的材料认定。）</w:t>
            </w:r>
          </w:p>
        </w:tc>
      </w:tr>
    </w:tbl>
    <w:p w14:paraId="69D535CB">
      <w:pPr>
        <w:widowControl/>
        <w:ind w:firstLine="711" w:firstLineChars="296"/>
        <w:rPr>
          <w:rFonts w:hint="eastAsia"/>
          <w:b/>
          <w:sz w:val="24"/>
        </w:rPr>
      </w:pPr>
      <w:r>
        <w:rPr>
          <w:rFonts w:hint="eastAsia"/>
          <w:b/>
          <w:sz w:val="24"/>
        </w:rPr>
        <w:t>注：投标文件中所提供的全部证明材料，评审结束后采购人有权进行核实，</w:t>
      </w:r>
    </w:p>
    <w:p w14:paraId="155D6E39">
      <w:pPr>
        <w:widowControl/>
        <w:ind w:firstLine="471" w:firstLineChars="196"/>
        <w:rPr>
          <w:rFonts w:hint="eastAsia"/>
          <w:b/>
          <w:sz w:val="24"/>
        </w:rPr>
      </w:pPr>
      <w:r>
        <w:rPr>
          <w:rFonts w:hint="eastAsia"/>
          <w:b/>
          <w:sz w:val="24"/>
        </w:rPr>
        <w:t>如有不实，将按照相关法律法规规定进行处理。</w:t>
      </w:r>
    </w:p>
    <w:p w14:paraId="7BC91491">
      <w:pPr>
        <w:keepNext w:val="0"/>
        <w:keepLines w:val="0"/>
        <w:pageBreakBefore w:val="0"/>
        <w:kinsoku w:val="0"/>
        <w:wordWrap/>
        <w:overflowPunct/>
        <w:topLinePunct w:val="0"/>
        <w:autoSpaceDE w:val="0"/>
        <w:autoSpaceDN w:val="0"/>
        <w:bidi w:val="0"/>
        <w:adjustRightInd w:val="0"/>
        <w:snapToGrid w:val="0"/>
        <w:spacing w:line="360" w:lineRule="auto"/>
        <w:jc w:val="left"/>
        <w:textAlignment w:val="baseline"/>
        <w:rPr>
          <w:rFonts w:hint="eastAsia" w:ascii="Times New Roman" w:hAnsi="Times New Roman" w:eastAsia="新宋体"/>
          <w:b w:val="0"/>
          <w:bCs w:val="0"/>
          <w:sz w:val="24"/>
          <w:szCs w:val="24"/>
          <w:highlight w:val="none"/>
        </w:rPr>
      </w:pPr>
    </w:p>
    <w:sectPr>
      <w:footerReference r:id="rId5" w:type="default"/>
      <w:pgSz w:w="11900" w:h="16830"/>
      <w:pgMar w:top="1430" w:right="1785" w:bottom="1223" w:left="1375" w:header="0" w:footer="106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369C22E-AE11-4790-99EB-143A979C134F}"/>
  </w:font>
  <w:font w:name="黑体">
    <w:panose1 w:val="02010609060101010101"/>
    <w:charset w:val="86"/>
    <w:family w:val="auto"/>
    <w:pitch w:val="default"/>
    <w:sig w:usb0="800002BF" w:usb1="38CF7CFA" w:usb2="00000016" w:usb3="00000000" w:csb0="00040001" w:csb1="00000000"/>
    <w:embedRegular r:id="rId2" w:fontKey="{97FCF1F8-85A6-4900-A288-74187B043DD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2725421A-85A3-4DB4-A6B8-B03A9498EE79}"/>
  </w:font>
  <w:font w:name="MS Mincho">
    <w:altName w:val="Yu Gothic UI"/>
    <w:panose1 w:val="02020609040205080304"/>
    <w:charset w:val="80"/>
    <w:family w:val="auto"/>
    <w:pitch w:val="default"/>
    <w:sig w:usb0="00000000" w:usb1="00000000" w:usb2="00000012" w:usb3="00000000" w:csb0="4002009F" w:csb1="DFD70000"/>
  </w:font>
  <w:font w:name="方正小标宋简体">
    <w:panose1 w:val="02010600010101010101"/>
    <w:charset w:val="86"/>
    <w:family w:val="auto"/>
    <w:pitch w:val="default"/>
    <w:sig w:usb0="00000001" w:usb1="080E0000" w:usb2="00000000" w:usb3="00000000" w:csb0="00040000" w:csb1="00000000"/>
    <w:embedRegular r:id="rId4" w:fontKey="{3D19175E-6D49-45A4-ABA5-5F64506B3841}"/>
  </w:font>
  <w:font w:name="新宋体">
    <w:panose1 w:val="02010609030101010101"/>
    <w:charset w:val="86"/>
    <w:family w:val="auto"/>
    <w:pitch w:val="default"/>
    <w:sig w:usb0="00000203" w:usb1="288F0000" w:usb2="00000006" w:usb3="00000000" w:csb0="00040001" w:csb1="00000000"/>
    <w:embedRegular r:id="rId5" w:fontKey="{00333587-8A9F-41BB-A77C-48027132F146}"/>
  </w:font>
  <w:font w:name="华文楷体">
    <w:panose1 w:val="02010600040101010101"/>
    <w:charset w:val="86"/>
    <w:family w:val="auto"/>
    <w:pitch w:val="default"/>
    <w:sig w:usb0="00000287" w:usb1="080F0000" w:usb2="00000000" w:usb3="00000000" w:csb0="0004009F" w:csb1="DFD70000"/>
  </w:font>
  <w:font w:name="䅂䍄䕅⯋컌">
    <w:altName w:val="Segoe Print"/>
    <w:panose1 w:val="00000000000000000000"/>
    <w:charset w:val="00"/>
    <w:family w:val="auto"/>
    <w:pitch w:val="default"/>
    <w:sig w:usb0="00000000" w:usb1="00000000" w:usb2="00000000" w:usb3="00000000" w:csb0="00040001" w:csb1="00000000"/>
    <w:embedRegular r:id="rId6" w:fontKey="{552CE25F-C43D-4033-AE3C-301191F79F01}"/>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5FAB0">
    <w:pPr>
      <w:spacing w:line="176" w:lineRule="auto"/>
      <w:ind w:left="4554"/>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5566A8"/>
    <w:multiLevelType w:val="singleLevel"/>
    <w:tmpl w:val="7D5566A8"/>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B86720"/>
    <w:rsid w:val="04800365"/>
    <w:rsid w:val="09B80963"/>
    <w:rsid w:val="1F324441"/>
    <w:rsid w:val="29645BAF"/>
    <w:rsid w:val="45F80F41"/>
    <w:rsid w:val="49E75BCD"/>
    <w:rsid w:val="5A467F6C"/>
    <w:rsid w:val="5A941D0F"/>
    <w:rsid w:val="5E451310"/>
    <w:rsid w:val="68A6395E"/>
    <w:rsid w:val="6A8D4C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annotation text"/>
    <w:basedOn w:val="1"/>
    <w:unhideWhenUsed/>
    <w:qFormat/>
    <w:uiPriority w:val="0"/>
    <w:pPr>
      <w:jc w:val="left"/>
    </w:pPr>
  </w:style>
  <w:style w:type="paragraph" w:styleId="3">
    <w:name w:val="Body Text"/>
    <w:basedOn w:val="1"/>
    <w:next w:val="1"/>
    <w:semiHidden/>
    <w:qFormat/>
    <w:uiPriority w:val="0"/>
    <w:rPr>
      <w:rFonts w:ascii="Arial" w:hAnsi="Arial" w:eastAsia="Arial" w:cs="Arial"/>
      <w:sz w:val="21"/>
      <w:szCs w:val="21"/>
      <w:lang w:val="en-US" w:eastAsia="en-US" w:bidi="ar-SA"/>
    </w:rPr>
  </w:style>
  <w:style w:type="paragraph" w:styleId="4">
    <w:name w:val="Plain Text"/>
    <w:basedOn w:val="1"/>
    <w:qFormat/>
    <w:uiPriority w:val="0"/>
    <w:rPr>
      <w:rFonts w:ascii="宋体" w:hAnsi="Courier New"/>
      <w:szCs w:val="20"/>
    </w:rPr>
  </w:style>
  <w:style w:type="paragraph" w:styleId="5">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宋体" w:hAnsi="宋体"/>
    </w:rPr>
  </w:style>
  <w:style w:type="paragraph" w:styleId="6">
    <w:name w:val="Normal (Web)"/>
    <w:basedOn w:val="1"/>
    <w:unhideWhenUsed/>
    <w:qFormat/>
    <w:uiPriority w:val="99"/>
    <w:pPr>
      <w:spacing w:before="100" w:beforeAutospacing="1" w:after="100" w:afterAutospacing="1"/>
      <w:jc w:val="left"/>
    </w:pPr>
    <w:rPr>
      <w:sz w:val="24"/>
      <w:szCs w:val="20"/>
    </w:rPr>
  </w:style>
  <w:style w:type="paragraph" w:styleId="7">
    <w:name w:val="Body Text First Indent"/>
    <w:basedOn w:val="3"/>
    <w:unhideWhenUsed/>
    <w:qFormat/>
    <w:uiPriority w:val="99"/>
    <w:pPr>
      <w:widowControl/>
      <w:ind w:firstLine="420"/>
      <w:jc w:val="left"/>
    </w:pPr>
    <w:rPr>
      <w:rFonts w:ascii="Arial" w:hAnsi="Arial" w:eastAsia="Arial" w:cs="Arial"/>
      <w:color w:val="000000"/>
      <w:szCs w:val="21"/>
      <w:lang w:eastAsia="en-US"/>
    </w:rPr>
  </w:style>
  <w:style w:type="character" w:styleId="10">
    <w:name w:val="page number"/>
    <w:qFormat/>
    <w:uiPriority w:val="0"/>
  </w:style>
  <w:style w:type="character" w:styleId="11">
    <w:name w:val="annotation reference"/>
    <w:qFormat/>
    <w:uiPriority w:val="0"/>
    <w:rPr>
      <w:sz w:val="21"/>
      <w:szCs w:val="21"/>
    </w:rPr>
  </w:style>
  <w:style w:type="paragraph" w:customStyle="1" w:styleId="12">
    <w:name w:val="首行缩进"/>
    <w:basedOn w:val="1"/>
    <w:qFormat/>
    <w:uiPriority w:val="0"/>
    <w:pPr>
      <w:spacing w:line="240" w:lineRule="auto"/>
      <w:ind w:firstLine="480"/>
    </w:pPr>
    <w:rPr>
      <w:sz w:val="21"/>
      <w:lang w:val="zh-CN"/>
    </w:rPr>
  </w:style>
  <w:style w:type="paragraph" w:customStyle="1" w:styleId="13">
    <w:name w:val="Table Text"/>
    <w:basedOn w:val="1"/>
    <w:semiHidden/>
    <w:qFormat/>
    <w:uiPriority w:val="0"/>
    <w:rPr>
      <w:rFonts w:ascii="宋体" w:hAnsi="宋体" w:cs="宋体"/>
      <w:sz w:val="20"/>
      <w:szCs w:val="20"/>
      <w:lang w:eastAsia="en-US"/>
    </w:rPr>
  </w:style>
  <w:style w:type="table" w:customStyle="1" w:styleId="14">
    <w:name w:val="Table Normal"/>
    <w:unhideWhenUsed/>
    <w:qFormat/>
    <w:uiPriority w:val="0"/>
    <w:tblPr>
      <w:tblCellMar>
        <w:top w:w="0" w:type="dxa"/>
        <w:left w:w="0" w:type="dxa"/>
        <w:bottom w:w="0" w:type="dxa"/>
        <w:right w:w="0" w:type="dxa"/>
      </w:tblCellMar>
    </w:tblPr>
  </w:style>
  <w:style w:type="paragraph" w:customStyle="1" w:styleId="15">
    <w:name w:val="Default"/>
    <w:qFormat/>
    <w:uiPriority w:val="99"/>
    <w:pPr>
      <w:widowControl w:val="0"/>
    </w:pPr>
    <w:rPr>
      <w:rFonts w:ascii="MS Mincho" w:hAnsi="Calibri" w:eastAsia="宋体" w:cs="Times New Roman"/>
      <w:color w:val="000000"/>
      <w:szCs w:val="24"/>
      <w:lang w:val="en-US" w:eastAsia="zh-CN" w:bidi="ar-SA"/>
    </w:rPr>
  </w:style>
  <w:style w:type="paragraph" w:customStyle="1" w:styleId="16">
    <w:name w:val="Normal_48"/>
    <w:qFormat/>
    <w:uiPriority w:val="99"/>
    <w:pPr>
      <w:spacing w:before="120" w:after="240"/>
      <w:jc w:val="both"/>
    </w:pPr>
    <w:rPr>
      <w:rFonts w:ascii="Times New Roman" w:hAnsi="Times New Roman" w:eastAsia="宋体" w:cs="Times New Roman"/>
      <w:sz w:val="22"/>
      <w:szCs w:val="22"/>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930</Words>
  <Characters>970</Characters>
  <Lines>0</Lines>
  <Paragraphs>0</Paragraphs>
  <TotalTime>7</TotalTime>
  <ScaleCrop>false</ScaleCrop>
  <LinksUpToDate>false</LinksUpToDate>
  <CharactersWithSpaces>972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2026-05-20T08:23:00Z</dcterms:created>
  <dc:creator>Administrator</dc:creator>
  <cp:lastModifiedBy>影河</cp:lastModifiedBy>
  <dcterms:modified xsi:type="dcterms:W3CDTF">2026-06-05T10:45:51Z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eyJoZGlkIjoiYTQ4OGUyYmM5NjI1NGE4ODQxMTMyNDNmYTYxM2NlZjAiLCJ1c2VySWQiOiIzOTY1NDg4NjcifQ==</vt:lpwstr>
  </property>
  <property fmtid="{D5CDD505-2E9C-101B-9397-08002B2CF9AE}" pid="4" name="ICV">
    <vt:lpwstr>A62F0AF192084A49A8A0B79AFFCD09D0_13</vt:lpwstr>
  </property>
</Properties>
</file>