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CBDEF4">
      <w:pPr>
        <w:widowControl/>
        <w:jc w:val="center"/>
        <w:outlineLvl w:val="0"/>
        <w:rPr>
          <w:b/>
          <w:sz w:val="32"/>
          <w:szCs w:val="32"/>
        </w:rPr>
      </w:pPr>
      <w:r>
        <w:rPr>
          <w:rFonts w:hint="eastAsia"/>
          <w:b/>
          <w:sz w:val="32"/>
          <w:szCs w:val="32"/>
        </w:rPr>
        <w:t>第四章 项目（货物或者服务）需求说明</w:t>
      </w:r>
    </w:p>
    <w:p w14:paraId="586A0354">
      <w:pPr>
        <w:spacing w:line="300" w:lineRule="auto"/>
        <w:ind w:firstLine="482" w:firstLineChars="200"/>
        <w:outlineLvl w:val="1"/>
        <w:rPr>
          <w:rFonts w:hint="eastAsia" w:ascii="宋体" w:hAnsi="宋体"/>
          <w:b/>
          <w:bCs/>
          <w:sz w:val="24"/>
        </w:rPr>
      </w:pPr>
      <w:r>
        <w:rPr>
          <w:rFonts w:hint="eastAsia" w:ascii="宋体" w:hAnsi="宋体"/>
          <w:b/>
          <w:bCs/>
          <w:sz w:val="24"/>
        </w:rPr>
        <w:t>一、项目背景：</w:t>
      </w:r>
    </w:p>
    <w:p w14:paraId="795B4DBC">
      <w:pPr>
        <w:spacing w:line="300" w:lineRule="auto"/>
        <w:ind w:firstLine="420" w:firstLineChars="200"/>
        <w:rPr>
          <w:rFonts w:hint="eastAsia" w:ascii="宋体" w:hAnsi="宋体"/>
          <w:szCs w:val="21"/>
        </w:rPr>
      </w:pPr>
      <w:r>
        <w:rPr>
          <w:rFonts w:hint="eastAsia" w:ascii="宋体" w:hAnsi="宋体"/>
          <w:szCs w:val="21"/>
        </w:rPr>
        <w:t>为深入贯彻落实国家关于人工智能、新一代信息技术与产业深度融合的战略部署，适应新工科建设与创新型人才培养需求，江苏海洋大学计划建设“</w:t>
      </w:r>
      <w:r>
        <w:rPr>
          <w:rFonts w:hint="eastAsia" w:ascii="宋体" w:hAnsi="宋体"/>
          <w:sz w:val="24"/>
        </w:rPr>
        <w:t>人工智能通识与鸿蒙数字工厂实训平台</w:t>
      </w:r>
      <w:r>
        <w:rPr>
          <w:rFonts w:hint="eastAsia" w:ascii="宋体" w:hAnsi="宋体"/>
          <w:szCs w:val="21"/>
        </w:rPr>
        <w:t>”。该项目旨在构建一个覆盖基础理论、技术实践到产业应用场景的完整教学与实训体系，全面提升学生在人工智能时代的核心素养与工程实践能力。</w:t>
      </w:r>
    </w:p>
    <w:p w14:paraId="02574394">
      <w:pPr>
        <w:spacing w:line="300" w:lineRule="auto"/>
        <w:ind w:firstLine="420" w:firstLineChars="200"/>
        <w:rPr>
          <w:rFonts w:hint="eastAsia" w:ascii="宋体" w:hAnsi="宋体"/>
          <w:szCs w:val="21"/>
        </w:rPr>
      </w:pPr>
      <w:r>
        <w:rPr>
          <w:rFonts w:hint="eastAsia" w:ascii="宋体" w:hAnsi="宋体"/>
          <w:szCs w:val="21"/>
        </w:rPr>
        <w:t>本项目建设的“人工智能通识课平台”将提供一个集实践训练、教学管理与在线考评于一体的云端一体化环境。平台需支持从机器学习、深度学习到计算机视觉、自然语言处理等多模块的30个以上实验，涵盖AI+工、理、文、艺等交叉应用案例，并具备全流程自动化评测、多环境兼容（包括国产化软硬件生态）及代码查重等先进功能，满足500人规模并发实训需求。该平台将作为全校性人工智能通识教育的基础载体，帮助学生低门槛、高效率地掌握AI工具链与开发技能。</w:t>
      </w:r>
    </w:p>
    <w:p w14:paraId="534A57E8">
      <w:pPr>
        <w:spacing w:line="300" w:lineRule="auto"/>
        <w:ind w:firstLine="420" w:firstLineChars="200"/>
        <w:rPr>
          <w:rFonts w:hint="eastAsia" w:ascii="宋体" w:hAnsi="宋体"/>
          <w:szCs w:val="21"/>
        </w:rPr>
      </w:pPr>
      <w:r>
        <w:rPr>
          <w:rFonts w:hint="eastAsia" w:ascii="宋体" w:hAnsi="宋体"/>
          <w:szCs w:val="21"/>
        </w:rPr>
        <w:t>同步引入的“工业沙盘场景开发实训设备”则聚焦工业互联网与智能制造的场景化实践。该设备基于开源鸿蒙技术栈，集成机械臂、视觉检测、PLC控制、数字孪生等典型工业要素，构建从访客登记、产品分拣、入库到生产监控的完整微缩产线。通过平板终端、边缘网关等国产信创设备的联动，学生可实战演练设备互联、数据采集、远程控制与可视化监控等工业级应用开发，强化其对工业现场问题的理解与解决能力。</w:t>
      </w:r>
    </w:p>
    <w:p w14:paraId="7FDFA250">
      <w:pPr>
        <w:spacing w:line="300" w:lineRule="auto"/>
        <w:ind w:firstLine="420" w:firstLineChars="200"/>
        <w:rPr>
          <w:rFonts w:hint="eastAsia" w:ascii="宋体" w:hAnsi="宋体"/>
          <w:szCs w:val="21"/>
        </w:rPr>
      </w:pPr>
      <w:r>
        <w:rPr>
          <w:rFonts w:hint="eastAsia" w:ascii="宋体" w:hAnsi="宋体"/>
          <w:szCs w:val="21"/>
        </w:rPr>
        <w:t>两套系统的协同部署，将形成“基础平台+高阶场景”的层次化教学体系，不仅能支撑人工智能通识课程、计算机科学与技术、自动化等相关专业的实践教学，还可为跨学科项目实训、竞赛创新及产学研合作提供平台基础。项目的实施预期将显著提升学校在智能化教学领域的基础设施水平，加快课程体系与产业技术的同步更新，为培养符合区域经济发展需求的数字化人才提供坚实支撑。</w:t>
      </w:r>
    </w:p>
    <w:p w14:paraId="7912607A">
      <w:pPr>
        <w:spacing w:line="300" w:lineRule="auto"/>
        <w:ind w:firstLine="482" w:firstLineChars="200"/>
        <w:outlineLvl w:val="1"/>
        <w:rPr>
          <w:rFonts w:hint="eastAsia" w:ascii="宋体" w:hAnsi="宋体"/>
          <w:b/>
          <w:bCs/>
          <w:sz w:val="24"/>
        </w:rPr>
      </w:pPr>
      <w:r>
        <w:rPr>
          <w:rFonts w:hint="eastAsia" w:ascii="宋体" w:hAnsi="宋体"/>
          <w:b/>
          <w:bCs/>
          <w:sz w:val="24"/>
        </w:rPr>
        <w:t>二、货物（标的）采购清单：</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402"/>
        <w:gridCol w:w="816"/>
        <w:gridCol w:w="885"/>
        <w:gridCol w:w="885"/>
      </w:tblGrid>
      <w:tr w14:paraId="230CA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dxa"/>
            <w:vAlign w:val="center"/>
          </w:tcPr>
          <w:p w14:paraId="77F4F6B9">
            <w:pPr>
              <w:widowControl/>
              <w:jc w:val="center"/>
              <w:rPr>
                <w:rFonts w:hint="eastAsia" w:ascii="宋体" w:hAnsi="宋体" w:cs="Helvetica"/>
                <w:b/>
                <w:sz w:val="24"/>
              </w:rPr>
            </w:pPr>
            <w:r>
              <w:rPr>
                <w:rFonts w:hint="eastAsia" w:ascii="宋体" w:hAnsi="宋体" w:cs="Helvetica"/>
                <w:b/>
                <w:sz w:val="24"/>
              </w:rPr>
              <w:t>序号</w:t>
            </w:r>
          </w:p>
        </w:tc>
        <w:tc>
          <w:tcPr>
            <w:tcW w:w="3402" w:type="dxa"/>
            <w:vAlign w:val="center"/>
          </w:tcPr>
          <w:p w14:paraId="7BA95869">
            <w:pPr>
              <w:widowControl/>
              <w:jc w:val="center"/>
              <w:rPr>
                <w:rFonts w:hint="eastAsia" w:ascii="宋体" w:hAnsi="宋体" w:cs="Helvetica"/>
                <w:b/>
                <w:sz w:val="24"/>
              </w:rPr>
            </w:pPr>
            <w:r>
              <w:rPr>
                <w:rFonts w:hint="eastAsia" w:ascii="宋体" w:hAnsi="宋体" w:cs="Helvetica"/>
                <w:b/>
                <w:sz w:val="24"/>
              </w:rPr>
              <w:t>货物名称</w:t>
            </w:r>
          </w:p>
        </w:tc>
        <w:tc>
          <w:tcPr>
            <w:tcW w:w="816" w:type="dxa"/>
            <w:vAlign w:val="center"/>
          </w:tcPr>
          <w:p w14:paraId="68A2AA96">
            <w:pPr>
              <w:widowControl/>
              <w:jc w:val="center"/>
              <w:rPr>
                <w:rFonts w:ascii="宋体" w:hAnsi="Calibri"/>
                <w:b/>
                <w:sz w:val="24"/>
              </w:rPr>
            </w:pPr>
            <w:r>
              <w:rPr>
                <w:rFonts w:hint="eastAsia" w:ascii="Calibri" w:hAnsi="Calibri"/>
                <w:b/>
                <w:sz w:val="24"/>
              </w:rPr>
              <w:t>数量</w:t>
            </w:r>
          </w:p>
        </w:tc>
        <w:tc>
          <w:tcPr>
            <w:tcW w:w="885" w:type="dxa"/>
            <w:vAlign w:val="center"/>
          </w:tcPr>
          <w:p w14:paraId="6D081DC7">
            <w:pPr>
              <w:widowControl/>
              <w:jc w:val="center"/>
              <w:rPr>
                <w:rFonts w:ascii="Calibri" w:hAnsi="Calibri"/>
                <w:b/>
                <w:sz w:val="24"/>
              </w:rPr>
            </w:pPr>
            <w:r>
              <w:rPr>
                <w:rFonts w:hint="eastAsia" w:ascii="Calibri" w:hAnsi="Calibri"/>
                <w:b/>
                <w:sz w:val="24"/>
              </w:rPr>
              <w:t>单位</w:t>
            </w:r>
          </w:p>
        </w:tc>
        <w:tc>
          <w:tcPr>
            <w:tcW w:w="885" w:type="dxa"/>
            <w:vAlign w:val="center"/>
          </w:tcPr>
          <w:p w14:paraId="1E990619">
            <w:pPr>
              <w:widowControl/>
              <w:jc w:val="center"/>
              <w:rPr>
                <w:rFonts w:ascii="Calibri" w:hAnsi="Calibri"/>
                <w:b/>
                <w:sz w:val="24"/>
              </w:rPr>
            </w:pPr>
            <w:r>
              <w:rPr>
                <w:rFonts w:hint="eastAsia" w:ascii="Calibri" w:hAnsi="Calibri"/>
                <w:b/>
                <w:sz w:val="24"/>
              </w:rPr>
              <w:t>是否核心</w:t>
            </w:r>
          </w:p>
        </w:tc>
      </w:tr>
      <w:tr w14:paraId="51C56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665EE984">
            <w:pPr>
              <w:widowControl/>
              <w:jc w:val="center"/>
              <w:rPr>
                <w:rFonts w:hint="eastAsia" w:ascii="宋体" w:hAnsi="宋体" w:cs="Helvetica"/>
                <w:sz w:val="24"/>
              </w:rPr>
            </w:pPr>
            <w:r>
              <w:rPr>
                <w:rFonts w:hint="eastAsia" w:ascii="宋体" w:hAnsi="宋体" w:cs="Helvetica"/>
                <w:sz w:val="24"/>
              </w:rPr>
              <w:t>1</w:t>
            </w:r>
          </w:p>
        </w:tc>
        <w:tc>
          <w:tcPr>
            <w:tcW w:w="3402" w:type="dxa"/>
            <w:vAlign w:val="center"/>
          </w:tcPr>
          <w:p w14:paraId="45F92CDD">
            <w:pPr>
              <w:jc w:val="center"/>
              <w:rPr>
                <w:rFonts w:hint="eastAsia" w:ascii="宋体" w:hAnsi="宋体" w:cs="宋体"/>
                <w:sz w:val="24"/>
              </w:rPr>
            </w:pPr>
            <w:r>
              <w:rPr>
                <w:rFonts w:hint="eastAsia" w:ascii="宋体" w:hAnsi="宋体" w:cs="宋体"/>
                <w:sz w:val="24"/>
              </w:rPr>
              <w:t>机械臂</w:t>
            </w:r>
          </w:p>
        </w:tc>
        <w:tc>
          <w:tcPr>
            <w:tcW w:w="816" w:type="dxa"/>
            <w:vAlign w:val="center"/>
          </w:tcPr>
          <w:p w14:paraId="1D817805">
            <w:pPr>
              <w:jc w:val="center"/>
              <w:rPr>
                <w:rFonts w:hint="eastAsia" w:ascii="宋体" w:hAnsi="宋体" w:cs="宋体"/>
                <w:sz w:val="24"/>
              </w:rPr>
            </w:pPr>
            <w:r>
              <w:rPr>
                <w:rFonts w:hint="eastAsia" w:ascii="宋体" w:hAnsi="宋体" w:cs="宋体"/>
                <w:sz w:val="24"/>
              </w:rPr>
              <w:t>1</w:t>
            </w:r>
          </w:p>
        </w:tc>
        <w:tc>
          <w:tcPr>
            <w:tcW w:w="885" w:type="dxa"/>
            <w:vAlign w:val="center"/>
          </w:tcPr>
          <w:p w14:paraId="3A418549">
            <w:pPr>
              <w:jc w:val="center"/>
              <w:rPr>
                <w:rFonts w:hint="eastAsia" w:ascii="宋体" w:hAnsi="宋体" w:cs="宋体"/>
                <w:sz w:val="24"/>
              </w:rPr>
            </w:pPr>
            <w:r>
              <w:rPr>
                <w:rFonts w:hint="eastAsia" w:ascii="宋体" w:hAnsi="宋体" w:cs="宋体"/>
                <w:sz w:val="24"/>
              </w:rPr>
              <w:t>套</w:t>
            </w:r>
          </w:p>
        </w:tc>
        <w:tc>
          <w:tcPr>
            <w:tcW w:w="885" w:type="dxa"/>
            <w:vAlign w:val="center"/>
          </w:tcPr>
          <w:p w14:paraId="714DC6EE">
            <w:pPr>
              <w:jc w:val="center"/>
              <w:rPr>
                <w:rFonts w:hint="eastAsia" w:ascii="宋体" w:hAnsi="宋体" w:cs="宋体"/>
                <w:sz w:val="24"/>
              </w:rPr>
            </w:pPr>
            <w:r>
              <w:rPr>
                <w:rFonts w:hint="eastAsia" w:ascii="宋体" w:hAnsi="宋体" w:cs="宋体"/>
                <w:sz w:val="24"/>
              </w:rPr>
              <w:t>否</w:t>
            </w:r>
          </w:p>
        </w:tc>
      </w:tr>
      <w:tr w14:paraId="4850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0E825B5D">
            <w:pPr>
              <w:widowControl/>
              <w:jc w:val="center"/>
              <w:rPr>
                <w:rFonts w:hint="eastAsia" w:ascii="宋体" w:hAnsi="宋体" w:cs="Helvetica"/>
                <w:sz w:val="24"/>
              </w:rPr>
            </w:pPr>
            <w:r>
              <w:rPr>
                <w:rFonts w:hint="eastAsia" w:ascii="宋体" w:hAnsi="宋体" w:cs="Helvetica"/>
                <w:sz w:val="24"/>
              </w:rPr>
              <w:t>2</w:t>
            </w:r>
          </w:p>
        </w:tc>
        <w:tc>
          <w:tcPr>
            <w:tcW w:w="3402" w:type="dxa"/>
            <w:vAlign w:val="center"/>
          </w:tcPr>
          <w:p w14:paraId="04AAC0B2">
            <w:pPr>
              <w:jc w:val="center"/>
              <w:rPr>
                <w:rFonts w:hint="eastAsia" w:ascii="宋体" w:hAnsi="宋体" w:cs="宋体"/>
                <w:sz w:val="24"/>
              </w:rPr>
            </w:pPr>
            <w:r>
              <w:rPr>
                <w:rFonts w:hint="eastAsia" w:ascii="宋体" w:hAnsi="宋体" w:cs="宋体"/>
                <w:kern w:val="0"/>
                <w:sz w:val="22"/>
                <w:szCs w:val="22"/>
              </w:rPr>
              <w:t>工业流水线场景设备</w:t>
            </w:r>
          </w:p>
        </w:tc>
        <w:tc>
          <w:tcPr>
            <w:tcW w:w="816" w:type="dxa"/>
            <w:vAlign w:val="center"/>
          </w:tcPr>
          <w:p w14:paraId="5CA59F6D">
            <w:pPr>
              <w:jc w:val="center"/>
              <w:rPr>
                <w:rFonts w:hint="eastAsia" w:ascii="宋体" w:hAnsi="宋体" w:cs="宋体"/>
                <w:sz w:val="24"/>
              </w:rPr>
            </w:pPr>
            <w:r>
              <w:rPr>
                <w:rFonts w:hint="eastAsia" w:ascii="宋体" w:hAnsi="宋体" w:cs="宋体"/>
                <w:sz w:val="24"/>
              </w:rPr>
              <w:t>1</w:t>
            </w:r>
          </w:p>
        </w:tc>
        <w:tc>
          <w:tcPr>
            <w:tcW w:w="885" w:type="dxa"/>
            <w:vAlign w:val="center"/>
          </w:tcPr>
          <w:p w14:paraId="4BD4638D">
            <w:pPr>
              <w:jc w:val="center"/>
              <w:rPr>
                <w:rFonts w:hint="eastAsia" w:ascii="宋体" w:hAnsi="宋体" w:cs="宋体"/>
                <w:sz w:val="24"/>
              </w:rPr>
            </w:pPr>
            <w:r>
              <w:rPr>
                <w:rFonts w:hint="eastAsia" w:ascii="宋体" w:hAnsi="宋体" w:cs="宋体"/>
                <w:sz w:val="24"/>
              </w:rPr>
              <w:t>套</w:t>
            </w:r>
          </w:p>
        </w:tc>
        <w:tc>
          <w:tcPr>
            <w:tcW w:w="885" w:type="dxa"/>
            <w:vAlign w:val="center"/>
          </w:tcPr>
          <w:p w14:paraId="2B7B15E9">
            <w:pPr>
              <w:jc w:val="center"/>
              <w:rPr>
                <w:rFonts w:hint="eastAsia" w:ascii="宋体" w:hAnsi="宋体" w:cs="宋体"/>
                <w:sz w:val="24"/>
              </w:rPr>
            </w:pPr>
            <w:r>
              <w:rPr>
                <w:rFonts w:hint="eastAsia" w:ascii="宋体" w:hAnsi="宋体" w:cs="宋体"/>
                <w:sz w:val="24"/>
              </w:rPr>
              <w:t>否</w:t>
            </w:r>
          </w:p>
        </w:tc>
      </w:tr>
      <w:tr w14:paraId="5DE28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74A5B10A">
            <w:pPr>
              <w:widowControl/>
              <w:jc w:val="center"/>
              <w:rPr>
                <w:rFonts w:hint="eastAsia" w:ascii="宋体" w:hAnsi="宋体" w:cs="Helvetica"/>
                <w:sz w:val="24"/>
              </w:rPr>
            </w:pPr>
            <w:r>
              <w:rPr>
                <w:rFonts w:hint="eastAsia" w:ascii="宋体" w:hAnsi="宋体" w:cs="Helvetica"/>
                <w:sz w:val="24"/>
              </w:rPr>
              <w:t>3</w:t>
            </w:r>
          </w:p>
        </w:tc>
        <w:tc>
          <w:tcPr>
            <w:tcW w:w="3402" w:type="dxa"/>
            <w:vAlign w:val="center"/>
          </w:tcPr>
          <w:p w14:paraId="3AE51F53">
            <w:pPr>
              <w:jc w:val="center"/>
              <w:rPr>
                <w:rFonts w:hint="eastAsia" w:ascii="宋体" w:hAnsi="宋体" w:cs="宋体"/>
                <w:kern w:val="0"/>
                <w:sz w:val="22"/>
                <w:szCs w:val="22"/>
              </w:rPr>
            </w:pPr>
            <w:r>
              <w:rPr>
                <w:rFonts w:hint="eastAsia" w:ascii="宋体" w:hAnsi="宋体" w:cs="宋体"/>
                <w:kern w:val="0"/>
                <w:sz w:val="22"/>
                <w:szCs w:val="22"/>
              </w:rPr>
              <w:t>工业PDA</w:t>
            </w:r>
          </w:p>
        </w:tc>
        <w:tc>
          <w:tcPr>
            <w:tcW w:w="816" w:type="dxa"/>
            <w:vAlign w:val="center"/>
          </w:tcPr>
          <w:p w14:paraId="6041429A">
            <w:pPr>
              <w:jc w:val="center"/>
              <w:rPr>
                <w:rFonts w:hint="eastAsia" w:ascii="宋体" w:hAnsi="宋体" w:cs="宋体"/>
                <w:sz w:val="24"/>
              </w:rPr>
            </w:pPr>
            <w:r>
              <w:rPr>
                <w:rFonts w:hint="eastAsia" w:ascii="宋体" w:hAnsi="宋体" w:cs="宋体"/>
                <w:sz w:val="24"/>
              </w:rPr>
              <w:t>1</w:t>
            </w:r>
          </w:p>
        </w:tc>
        <w:tc>
          <w:tcPr>
            <w:tcW w:w="885" w:type="dxa"/>
            <w:vAlign w:val="center"/>
          </w:tcPr>
          <w:p w14:paraId="35F83193">
            <w:pPr>
              <w:jc w:val="center"/>
              <w:rPr>
                <w:rFonts w:hint="eastAsia" w:ascii="宋体" w:hAnsi="宋体" w:cs="宋体"/>
                <w:sz w:val="24"/>
              </w:rPr>
            </w:pPr>
            <w:r>
              <w:rPr>
                <w:rFonts w:hint="eastAsia" w:ascii="宋体" w:hAnsi="宋体" w:cs="宋体"/>
                <w:sz w:val="24"/>
              </w:rPr>
              <w:t>套</w:t>
            </w:r>
          </w:p>
        </w:tc>
        <w:tc>
          <w:tcPr>
            <w:tcW w:w="885" w:type="dxa"/>
            <w:vAlign w:val="center"/>
          </w:tcPr>
          <w:p w14:paraId="2BA94B1A">
            <w:pPr>
              <w:jc w:val="center"/>
              <w:rPr>
                <w:rFonts w:hint="eastAsia" w:ascii="宋体" w:hAnsi="宋体" w:cs="宋体"/>
                <w:sz w:val="24"/>
              </w:rPr>
            </w:pPr>
            <w:r>
              <w:rPr>
                <w:rFonts w:hint="eastAsia" w:ascii="宋体" w:hAnsi="宋体" w:cs="宋体"/>
                <w:sz w:val="24"/>
              </w:rPr>
              <w:t>否</w:t>
            </w:r>
          </w:p>
        </w:tc>
      </w:tr>
      <w:tr w14:paraId="0E33C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268A5349">
            <w:pPr>
              <w:widowControl/>
              <w:jc w:val="center"/>
              <w:rPr>
                <w:rFonts w:hint="eastAsia" w:ascii="宋体" w:hAnsi="宋体" w:cs="Helvetica"/>
                <w:sz w:val="24"/>
              </w:rPr>
            </w:pPr>
            <w:r>
              <w:rPr>
                <w:rFonts w:hint="eastAsia" w:ascii="宋体" w:hAnsi="宋体" w:cs="Helvetica"/>
                <w:sz w:val="24"/>
              </w:rPr>
              <w:t>4</w:t>
            </w:r>
          </w:p>
        </w:tc>
        <w:tc>
          <w:tcPr>
            <w:tcW w:w="3402" w:type="dxa"/>
            <w:vAlign w:val="center"/>
          </w:tcPr>
          <w:p w14:paraId="5EA73BF6">
            <w:pPr>
              <w:jc w:val="center"/>
              <w:rPr>
                <w:rFonts w:hint="eastAsia" w:ascii="宋体" w:hAnsi="宋体" w:cs="宋体"/>
                <w:kern w:val="0"/>
                <w:sz w:val="22"/>
                <w:szCs w:val="22"/>
              </w:rPr>
            </w:pPr>
            <w:r>
              <w:rPr>
                <w:rFonts w:hint="eastAsia" w:ascii="宋体" w:hAnsi="宋体" w:cs="宋体"/>
                <w:kern w:val="0"/>
                <w:sz w:val="22"/>
                <w:szCs w:val="22"/>
              </w:rPr>
              <w:t>工业三防平板</w:t>
            </w:r>
          </w:p>
        </w:tc>
        <w:tc>
          <w:tcPr>
            <w:tcW w:w="816" w:type="dxa"/>
            <w:vAlign w:val="center"/>
          </w:tcPr>
          <w:p w14:paraId="507009D4">
            <w:pPr>
              <w:jc w:val="center"/>
              <w:rPr>
                <w:rFonts w:hint="eastAsia" w:ascii="宋体" w:hAnsi="宋体" w:cs="宋体"/>
                <w:sz w:val="24"/>
              </w:rPr>
            </w:pPr>
            <w:r>
              <w:rPr>
                <w:rFonts w:hint="eastAsia" w:ascii="宋体" w:hAnsi="宋体" w:cs="宋体"/>
                <w:sz w:val="24"/>
              </w:rPr>
              <w:t>2</w:t>
            </w:r>
          </w:p>
        </w:tc>
        <w:tc>
          <w:tcPr>
            <w:tcW w:w="885" w:type="dxa"/>
            <w:vAlign w:val="center"/>
          </w:tcPr>
          <w:p w14:paraId="659CB403">
            <w:pPr>
              <w:jc w:val="center"/>
              <w:rPr>
                <w:rFonts w:hint="eastAsia" w:ascii="宋体" w:hAnsi="宋体" w:cs="宋体"/>
                <w:sz w:val="24"/>
              </w:rPr>
            </w:pPr>
            <w:r>
              <w:rPr>
                <w:rFonts w:hint="eastAsia" w:ascii="宋体" w:hAnsi="宋体" w:cs="宋体"/>
                <w:sz w:val="24"/>
              </w:rPr>
              <w:t>台</w:t>
            </w:r>
          </w:p>
        </w:tc>
        <w:tc>
          <w:tcPr>
            <w:tcW w:w="885" w:type="dxa"/>
            <w:vAlign w:val="center"/>
          </w:tcPr>
          <w:p w14:paraId="173AA650">
            <w:pPr>
              <w:jc w:val="center"/>
              <w:rPr>
                <w:rFonts w:hint="eastAsia" w:ascii="宋体" w:hAnsi="宋体" w:cs="宋体"/>
                <w:sz w:val="24"/>
              </w:rPr>
            </w:pPr>
            <w:r>
              <w:rPr>
                <w:rFonts w:hint="eastAsia" w:ascii="宋体" w:hAnsi="宋体" w:cs="宋体"/>
                <w:sz w:val="24"/>
              </w:rPr>
              <w:t>否</w:t>
            </w:r>
          </w:p>
        </w:tc>
      </w:tr>
      <w:tr w14:paraId="3D695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0EAE19F3">
            <w:pPr>
              <w:widowControl/>
              <w:jc w:val="center"/>
              <w:rPr>
                <w:rFonts w:hint="eastAsia" w:ascii="宋体" w:hAnsi="宋体" w:cs="Helvetica"/>
                <w:sz w:val="24"/>
              </w:rPr>
            </w:pPr>
            <w:r>
              <w:rPr>
                <w:rFonts w:hint="eastAsia" w:ascii="宋体" w:hAnsi="宋体" w:cs="Helvetica"/>
                <w:sz w:val="24"/>
              </w:rPr>
              <w:t>5</w:t>
            </w:r>
          </w:p>
        </w:tc>
        <w:tc>
          <w:tcPr>
            <w:tcW w:w="3402" w:type="dxa"/>
            <w:vAlign w:val="center"/>
          </w:tcPr>
          <w:p w14:paraId="703A92F4">
            <w:pPr>
              <w:jc w:val="center"/>
              <w:rPr>
                <w:rFonts w:hint="eastAsia" w:ascii="宋体" w:hAnsi="宋体" w:cs="宋体"/>
                <w:kern w:val="0"/>
                <w:sz w:val="22"/>
                <w:szCs w:val="22"/>
              </w:rPr>
            </w:pPr>
            <w:r>
              <w:rPr>
                <w:rFonts w:hint="eastAsia" w:ascii="宋体" w:hAnsi="宋体" w:cs="宋体"/>
                <w:kern w:val="0"/>
                <w:sz w:val="22"/>
                <w:szCs w:val="22"/>
              </w:rPr>
              <w:t>工业3588网关</w:t>
            </w:r>
          </w:p>
        </w:tc>
        <w:tc>
          <w:tcPr>
            <w:tcW w:w="816" w:type="dxa"/>
            <w:vAlign w:val="center"/>
          </w:tcPr>
          <w:p w14:paraId="340B498D">
            <w:pPr>
              <w:jc w:val="center"/>
              <w:rPr>
                <w:rFonts w:hint="eastAsia" w:ascii="宋体" w:hAnsi="宋体" w:cs="宋体"/>
                <w:sz w:val="24"/>
              </w:rPr>
            </w:pPr>
            <w:r>
              <w:rPr>
                <w:rFonts w:hint="eastAsia" w:ascii="宋体" w:hAnsi="宋体" w:cs="宋体"/>
                <w:sz w:val="24"/>
              </w:rPr>
              <w:t>1</w:t>
            </w:r>
          </w:p>
        </w:tc>
        <w:tc>
          <w:tcPr>
            <w:tcW w:w="885" w:type="dxa"/>
            <w:vAlign w:val="center"/>
          </w:tcPr>
          <w:p w14:paraId="28F5175F">
            <w:pPr>
              <w:jc w:val="center"/>
              <w:rPr>
                <w:rFonts w:hint="eastAsia" w:ascii="宋体" w:hAnsi="宋体" w:cs="宋体"/>
                <w:sz w:val="24"/>
              </w:rPr>
            </w:pPr>
            <w:r>
              <w:rPr>
                <w:rFonts w:hint="eastAsia" w:ascii="宋体" w:hAnsi="宋体" w:cs="宋体"/>
                <w:sz w:val="24"/>
              </w:rPr>
              <w:t>套</w:t>
            </w:r>
          </w:p>
        </w:tc>
        <w:tc>
          <w:tcPr>
            <w:tcW w:w="885" w:type="dxa"/>
            <w:vAlign w:val="center"/>
          </w:tcPr>
          <w:p w14:paraId="487412BD">
            <w:pPr>
              <w:jc w:val="center"/>
              <w:rPr>
                <w:rFonts w:hint="eastAsia" w:ascii="宋体" w:hAnsi="宋体" w:cs="宋体"/>
                <w:sz w:val="24"/>
              </w:rPr>
            </w:pPr>
            <w:r>
              <w:rPr>
                <w:rFonts w:hint="eastAsia" w:ascii="宋体" w:hAnsi="宋体" w:cs="宋体"/>
                <w:sz w:val="24"/>
              </w:rPr>
              <w:t>否</w:t>
            </w:r>
          </w:p>
        </w:tc>
      </w:tr>
      <w:tr w14:paraId="5C33B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4BC2134C">
            <w:pPr>
              <w:widowControl/>
              <w:jc w:val="center"/>
              <w:rPr>
                <w:rFonts w:hint="eastAsia" w:ascii="宋体" w:hAnsi="宋体" w:cs="Helvetica"/>
                <w:sz w:val="24"/>
              </w:rPr>
            </w:pPr>
            <w:r>
              <w:rPr>
                <w:rFonts w:hint="eastAsia" w:ascii="宋体" w:hAnsi="宋体" w:cs="Helvetica"/>
                <w:sz w:val="24"/>
              </w:rPr>
              <w:t>6</w:t>
            </w:r>
          </w:p>
        </w:tc>
        <w:tc>
          <w:tcPr>
            <w:tcW w:w="3402" w:type="dxa"/>
            <w:vAlign w:val="center"/>
          </w:tcPr>
          <w:p w14:paraId="1D6A0F72">
            <w:pPr>
              <w:jc w:val="center"/>
              <w:rPr>
                <w:rFonts w:hint="eastAsia" w:ascii="宋体" w:hAnsi="宋体" w:cs="宋体"/>
                <w:kern w:val="0"/>
                <w:sz w:val="22"/>
                <w:szCs w:val="22"/>
              </w:rPr>
            </w:pPr>
            <w:r>
              <w:rPr>
                <w:rFonts w:hint="eastAsia" w:ascii="宋体" w:hAnsi="宋体" w:cs="宋体"/>
                <w:kern w:val="0"/>
                <w:sz w:val="22"/>
                <w:szCs w:val="22"/>
                <w:lang w:eastAsia="zh-CN"/>
              </w:rPr>
              <w:t>国产</w:t>
            </w:r>
            <w:r>
              <w:rPr>
                <w:rFonts w:hint="eastAsia" w:ascii="宋体" w:hAnsi="宋体" w:cs="宋体"/>
                <w:kern w:val="0"/>
                <w:sz w:val="22"/>
                <w:szCs w:val="22"/>
              </w:rPr>
              <w:t>PLC控制柜（含鸿蒙适配器）</w:t>
            </w:r>
          </w:p>
        </w:tc>
        <w:tc>
          <w:tcPr>
            <w:tcW w:w="816" w:type="dxa"/>
            <w:vAlign w:val="center"/>
          </w:tcPr>
          <w:p w14:paraId="0AB3DE3F">
            <w:pPr>
              <w:jc w:val="center"/>
              <w:rPr>
                <w:rFonts w:hint="eastAsia" w:ascii="宋体" w:hAnsi="宋体" w:cs="宋体"/>
                <w:sz w:val="24"/>
              </w:rPr>
            </w:pPr>
            <w:r>
              <w:rPr>
                <w:rFonts w:hint="eastAsia" w:ascii="宋体" w:hAnsi="宋体" w:cs="宋体"/>
                <w:sz w:val="24"/>
              </w:rPr>
              <w:t>1</w:t>
            </w:r>
          </w:p>
        </w:tc>
        <w:tc>
          <w:tcPr>
            <w:tcW w:w="885" w:type="dxa"/>
            <w:vAlign w:val="center"/>
          </w:tcPr>
          <w:p w14:paraId="65E696E7">
            <w:pPr>
              <w:jc w:val="center"/>
              <w:rPr>
                <w:rFonts w:hint="eastAsia" w:ascii="宋体" w:hAnsi="宋体" w:cs="宋体"/>
                <w:sz w:val="24"/>
              </w:rPr>
            </w:pPr>
            <w:r>
              <w:rPr>
                <w:rFonts w:hint="eastAsia" w:ascii="宋体" w:hAnsi="宋体" w:cs="宋体"/>
                <w:sz w:val="24"/>
              </w:rPr>
              <w:t>套</w:t>
            </w:r>
          </w:p>
        </w:tc>
        <w:tc>
          <w:tcPr>
            <w:tcW w:w="885" w:type="dxa"/>
            <w:vAlign w:val="center"/>
          </w:tcPr>
          <w:p w14:paraId="57F71CA2">
            <w:pPr>
              <w:jc w:val="center"/>
              <w:rPr>
                <w:rFonts w:hint="eastAsia" w:ascii="宋体" w:hAnsi="宋体" w:cs="宋体"/>
                <w:sz w:val="24"/>
              </w:rPr>
            </w:pPr>
            <w:r>
              <w:rPr>
                <w:rFonts w:hint="eastAsia" w:ascii="宋体" w:hAnsi="宋体" w:cs="宋体"/>
                <w:sz w:val="24"/>
              </w:rPr>
              <w:t>否</w:t>
            </w:r>
          </w:p>
        </w:tc>
      </w:tr>
      <w:tr w14:paraId="27C3E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65BD39F0">
            <w:pPr>
              <w:widowControl/>
              <w:jc w:val="center"/>
              <w:rPr>
                <w:rFonts w:hint="eastAsia" w:ascii="宋体" w:hAnsi="宋体" w:cs="Helvetica"/>
                <w:sz w:val="24"/>
              </w:rPr>
            </w:pPr>
            <w:r>
              <w:rPr>
                <w:rFonts w:hint="eastAsia" w:ascii="宋体" w:hAnsi="宋体" w:cs="Helvetica"/>
                <w:sz w:val="24"/>
              </w:rPr>
              <w:t>7</w:t>
            </w:r>
          </w:p>
        </w:tc>
        <w:tc>
          <w:tcPr>
            <w:tcW w:w="3402" w:type="dxa"/>
            <w:vAlign w:val="center"/>
          </w:tcPr>
          <w:p w14:paraId="48C0618E">
            <w:pPr>
              <w:jc w:val="center"/>
              <w:rPr>
                <w:rFonts w:hint="eastAsia" w:ascii="宋体" w:hAnsi="宋体" w:cs="宋体"/>
                <w:kern w:val="0"/>
                <w:sz w:val="22"/>
                <w:szCs w:val="22"/>
              </w:rPr>
            </w:pPr>
            <w:r>
              <w:rPr>
                <w:rFonts w:hint="eastAsia" w:ascii="宋体" w:hAnsi="宋体" w:cs="宋体"/>
                <w:kern w:val="0"/>
                <w:sz w:val="22"/>
                <w:szCs w:val="22"/>
              </w:rPr>
              <w:t>局域网搭建</w:t>
            </w:r>
          </w:p>
        </w:tc>
        <w:tc>
          <w:tcPr>
            <w:tcW w:w="816" w:type="dxa"/>
            <w:vAlign w:val="center"/>
          </w:tcPr>
          <w:p w14:paraId="1C776EFA">
            <w:pPr>
              <w:jc w:val="center"/>
              <w:rPr>
                <w:rFonts w:hint="eastAsia" w:ascii="宋体" w:hAnsi="宋体" w:cs="宋体"/>
                <w:sz w:val="24"/>
              </w:rPr>
            </w:pPr>
            <w:r>
              <w:rPr>
                <w:rFonts w:hint="eastAsia" w:ascii="宋体" w:hAnsi="宋体" w:cs="宋体"/>
                <w:sz w:val="24"/>
              </w:rPr>
              <w:t>1</w:t>
            </w:r>
          </w:p>
        </w:tc>
        <w:tc>
          <w:tcPr>
            <w:tcW w:w="885" w:type="dxa"/>
            <w:vAlign w:val="center"/>
          </w:tcPr>
          <w:p w14:paraId="730D374C">
            <w:pPr>
              <w:jc w:val="center"/>
              <w:rPr>
                <w:rFonts w:hint="eastAsia" w:ascii="宋体" w:hAnsi="宋体" w:cs="宋体"/>
                <w:sz w:val="24"/>
              </w:rPr>
            </w:pPr>
            <w:r>
              <w:rPr>
                <w:rFonts w:hint="eastAsia" w:ascii="宋体" w:hAnsi="宋体" w:cs="宋体"/>
                <w:sz w:val="24"/>
              </w:rPr>
              <w:t>套</w:t>
            </w:r>
          </w:p>
        </w:tc>
        <w:tc>
          <w:tcPr>
            <w:tcW w:w="885" w:type="dxa"/>
            <w:vAlign w:val="center"/>
          </w:tcPr>
          <w:p w14:paraId="622834FE">
            <w:pPr>
              <w:jc w:val="center"/>
              <w:rPr>
                <w:rFonts w:hint="eastAsia" w:ascii="宋体" w:hAnsi="宋体" w:cs="宋体"/>
                <w:sz w:val="24"/>
              </w:rPr>
            </w:pPr>
            <w:r>
              <w:rPr>
                <w:rFonts w:hint="eastAsia" w:ascii="宋体" w:hAnsi="宋体" w:cs="宋体"/>
                <w:sz w:val="24"/>
              </w:rPr>
              <w:t>否</w:t>
            </w:r>
          </w:p>
        </w:tc>
      </w:tr>
      <w:tr w14:paraId="4FEAD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78CEB764">
            <w:pPr>
              <w:widowControl/>
              <w:jc w:val="center"/>
              <w:rPr>
                <w:rFonts w:hint="eastAsia" w:ascii="宋体" w:hAnsi="宋体" w:cs="Helvetica"/>
                <w:sz w:val="24"/>
              </w:rPr>
            </w:pPr>
            <w:r>
              <w:rPr>
                <w:rFonts w:hint="eastAsia" w:ascii="宋体" w:hAnsi="宋体" w:cs="Helvetica"/>
                <w:sz w:val="24"/>
              </w:rPr>
              <w:t>8</w:t>
            </w:r>
          </w:p>
        </w:tc>
        <w:tc>
          <w:tcPr>
            <w:tcW w:w="3402" w:type="dxa"/>
            <w:vAlign w:val="center"/>
          </w:tcPr>
          <w:p w14:paraId="10D4663C">
            <w:pPr>
              <w:jc w:val="center"/>
              <w:rPr>
                <w:rFonts w:hint="eastAsia" w:ascii="宋体" w:hAnsi="宋体" w:cs="宋体"/>
                <w:kern w:val="0"/>
                <w:sz w:val="22"/>
                <w:szCs w:val="22"/>
              </w:rPr>
            </w:pPr>
            <w:r>
              <w:rPr>
                <w:rFonts w:hint="eastAsia" w:ascii="宋体" w:hAnsi="宋体" w:cs="宋体"/>
                <w:kern w:val="0"/>
                <w:sz w:val="22"/>
                <w:szCs w:val="22"/>
              </w:rPr>
              <w:t>工业场景软件</w:t>
            </w:r>
          </w:p>
        </w:tc>
        <w:tc>
          <w:tcPr>
            <w:tcW w:w="816" w:type="dxa"/>
            <w:vAlign w:val="center"/>
          </w:tcPr>
          <w:p w14:paraId="72F40455">
            <w:pPr>
              <w:jc w:val="center"/>
              <w:rPr>
                <w:rFonts w:hint="eastAsia" w:ascii="宋体" w:hAnsi="宋体" w:cs="宋体"/>
                <w:sz w:val="24"/>
              </w:rPr>
            </w:pPr>
            <w:r>
              <w:rPr>
                <w:rFonts w:hint="eastAsia" w:ascii="宋体" w:hAnsi="宋体" w:cs="宋体"/>
                <w:sz w:val="24"/>
              </w:rPr>
              <w:t>1</w:t>
            </w:r>
          </w:p>
        </w:tc>
        <w:tc>
          <w:tcPr>
            <w:tcW w:w="885" w:type="dxa"/>
            <w:vAlign w:val="center"/>
          </w:tcPr>
          <w:p w14:paraId="001F2F6F">
            <w:pPr>
              <w:jc w:val="center"/>
              <w:rPr>
                <w:rFonts w:hint="eastAsia" w:ascii="宋体" w:hAnsi="宋体" w:cs="宋体"/>
                <w:sz w:val="24"/>
              </w:rPr>
            </w:pPr>
            <w:r>
              <w:rPr>
                <w:rFonts w:hint="eastAsia" w:ascii="宋体" w:hAnsi="宋体" w:cs="宋体"/>
                <w:sz w:val="24"/>
              </w:rPr>
              <w:t>套</w:t>
            </w:r>
          </w:p>
        </w:tc>
        <w:tc>
          <w:tcPr>
            <w:tcW w:w="885" w:type="dxa"/>
            <w:vAlign w:val="center"/>
          </w:tcPr>
          <w:p w14:paraId="2E36517C">
            <w:pPr>
              <w:jc w:val="center"/>
              <w:rPr>
                <w:rFonts w:hint="eastAsia" w:ascii="宋体" w:hAnsi="宋体" w:cs="宋体"/>
                <w:sz w:val="24"/>
              </w:rPr>
            </w:pPr>
            <w:r>
              <w:rPr>
                <w:rFonts w:hint="eastAsia" w:ascii="宋体" w:hAnsi="宋体" w:cs="宋体"/>
                <w:sz w:val="24"/>
              </w:rPr>
              <w:t>否</w:t>
            </w:r>
          </w:p>
        </w:tc>
      </w:tr>
      <w:tr w14:paraId="0095C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694BBAA3">
            <w:pPr>
              <w:widowControl/>
              <w:jc w:val="center"/>
              <w:rPr>
                <w:rFonts w:hint="eastAsia" w:ascii="宋体" w:hAnsi="宋体" w:cs="Helvetica"/>
                <w:sz w:val="24"/>
              </w:rPr>
            </w:pPr>
            <w:r>
              <w:rPr>
                <w:rFonts w:hint="eastAsia" w:ascii="宋体" w:hAnsi="宋体" w:cs="Helvetica"/>
                <w:sz w:val="24"/>
              </w:rPr>
              <w:t>9</w:t>
            </w:r>
          </w:p>
        </w:tc>
        <w:tc>
          <w:tcPr>
            <w:tcW w:w="3402" w:type="dxa"/>
            <w:vAlign w:val="center"/>
          </w:tcPr>
          <w:p w14:paraId="77511D73">
            <w:pPr>
              <w:jc w:val="center"/>
              <w:rPr>
                <w:rFonts w:hint="eastAsia" w:ascii="宋体" w:hAnsi="宋体" w:cs="宋体"/>
                <w:kern w:val="0"/>
                <w:sz w:val="22"/>
                <w:szCs w:val="22"/>
              </w:rPr>
            </w:pPr>
            <w:r>
              <w:rPr>
                <w:rFonts w:hint="eastAsia" w:ascii="宋体" w:hAnsi="宋体" w:cs="宋体"/>
                <w:kern w:val="0"/>
                <w:sz w:val="22"/>
                <w:szCs w:val="22"/>
              </w:rPr>
              <w:t>管理系统</w:t>
            </w:r>
          </w:p>
        </w:tc>
        <w:tc>
          <w:tcPr>
            <w:tcW w:w="816" w:type="dxa"/>
            <w:vAlign w:val="center"/>
          </w:tcPr>
          <w:p w14:paraId="33FE6221">
            <w:pPr>
              <w:jc w:val="center"/>
              <w:rPr>
                <w:rFonts w:hint="eastAsia" w:ascii="宋体" w:hAnsi="宋体" w:cs="宋体"/>
                <w:sz w:val="24"/>
              </w:rPr>
            </w:pPr>
            <w:r>
              <w:rPr>
                <w:rFonts w:hint="eastAsia" w:ascii="宋体" w:hAnsi="宋体" w:cs="宋体"/>
                <w:sz w:val="24"/>
              </w:rPr>
              <w:t>1</w:t>
            </w:r>
          </w:p>
        </w:tc>
        <w:tc>
          <w:tcPr>
            <w:tcW w:w="885" w:type="dxa"/>
            <w:vAlign w:val="center"/>
          </w:tcPr>
          <w:p w14:paraId="432351F0">
            <w:pPr>
              <w:jc w:val="center"/>
              <w:rPr>
                <w:rFonts w:hint="eastAsia" w:ascii="宋体" w:hAnsi="宋体" w:cs="宋体"/>
                <w:sz w:val="24"/>
              </w:rPr>
            </w:pPr>
            <w:r>
              <w:rPr>
                <w:rFonts w:hint="eastAsia" w:ascii="宋体" w:hAnsi="宋体" w:cs="宋体"/>
                <w:sz w:val="24"/>
              </w:rPr>
              <w:t>套</w:t>
            </w:r>
          </w:p>
        </w:tc>
        <w:tc>
          <w:tcPr>
            <w:tcW w:w="885" w:type="dxa"/>
            <w:vAlign w:val="center"/>
          </w:tcPr>
          <w:p w14:paraId="596EFF03">
            <w:pPr>
              <w:jc w:val="center"/>
              <w:rPr>
                <w:rFonts w:hint="eastAsia" w:ascii="宋体" w:hAnsi="宋体" w:cs="宋体"/>
                <w:sz w:val="24"/>
              </w:rPr>
            </w:pPr>
            <w:r>
              <w:rPr>
                <w:rFonts w:hint="eastAsia" w:ascii="宋体" w:hAnsi="宋体" w:cs="宋体"/>
                <w:sz w:val="24"/>
              </w:rPr>
              <w:t>是</w:t>
            </w:r>
          </w:p>
        </w:tc>
      </w:tr>
      <w:tr w14:paraId="70ED6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7BBEC21E">
            <w:pPr>
              <w:widowControl/>
              <w:jc w:val="center"/>
              <w:rPr>
                <w:rFonts w:hint="eastAsia" w:ascii="宋体" w:hAnsi="宋体" w:cs="Helvetica"/>
                <w:sz w:val="24"/>
              </w:rPr>
            </w:pPr>
            <w:r>
              <w:rPr>
                <w:rFonts w:hint="eastAsia" w:ascii="宋体" w:hAnsi="宋体" w:cs="Helvetica"/>
                <w:sz w:val="24"/>
              </w:rPr>
              <w:t>10</w:t>
            </w:r>
          </w:p>
        </w:tc>
        <w:tc>
          <w:tcPr>
            <w:tcW w:w="3402" w:type="dxa"/>
            <w:vAlign w:val="center"/>
          </w:tcPr>
          <w:p w14:paraId="3CA62DFA">
            <w:pPr>
              <w:jc w:val="center"/>
              <w:rPr>
                <w:rFonts w:hint="eastAsia" w:ascii="宋体" w:hAnsi="宋体" w:cs="宋体"/>
                <w:kern w:val="0"/>
                <w:sz w:val="22"/>
                <w:szCs w:val="22"/>
              </w:rPr>
            </w:pPr>
            <w:r>
              <w:rPr>
                <w:rFonts w:hint="eastAsia" w:ascii="宋体" w:hAnsi="宋体" w:cs="宋体"/>
                <w:kern w:val="0"/>
                <w:sz w:val="22"/>
                <w:szCs w:val="22"/>
              </w:rPr>
              <w:t>课程资源</w:t>
            </w:r>
          </w:p>
        </w:tc>
        <w:tc>
          <w:tcPr>
            <w:tcW w:w="816" w:type="dxa"/>
            <w:vAlign w:val="center"/>
          </w:tcPr>
          <w:p w14:paraId="32148200">
            <w:pPr>
              <w:jc w:val="center"/>
              <w:rPr>
                <w:rFonts w:hint="eastAsia" w:ascii="宋体" w:hAnsi="宋体" w:cs="宋体"/>
                <w:sz w:val="24"/>
              </w:rPr>
            </w:pPr>
            <w:r>
              <w:rPr>
                <w:rFonts w:hint="eastAsia" w:ascii="宋体" w:hAnsi="宋体" w:cs="宋体"/>
                <w:sz w:val="24"/>
              </w:rPr>
              <w:t>1</w:t>
            </w:r>
          </w:p>
        </w:tc>
        <w:tc>
          <w:tcPr>
            <w:tcW w:w="885" w:type="dxa"/>
            <w:vAlign w:val="center"/>
          </w:tcPr>
          <w:p w14:paraId="425F3F3C">
            <w:pPr>
              <w:jc w:val="center"/>
              <w:rPr>
                <w:rFonts w:hint="eastAsia" w:ascii="宋体" w:hAnsi="宋体" w:cs="宋体"/>
                <w:sz w:val="24"/>
              </w:rPr>
            </w:pPr>
            <w:r>
              <w:rPr>
                <w:rFonts w:hint="eastAsia" w:ascii="宋体" w:hAnsi="宋体" w:cs="宋体"/>
                <w:sz w:val="24"/>
              </w:rPr>
              <w:t>套</w:t>
            </w:r>
          </w:p>
        </w:tc>
        <w:tc>
          <w:tcPr>
            <w:tcW w:w="885" w:type="dxa"/>
            <w:vAlign w:val="center"/>
          </w:tcPr>
          <w:p w14:paraId="71D9D0AC">
            <w:pPr>
              <w:jc w:val="center"/>
              <w:rPr>
                <w:rFonts w:hint="eastAsia" w:ascii="宋体" w:hAnsi="宋体" w:cs="宋体"/>
                <w:sz w:val="24"/>
              </w:rPr>
            </w:pPr>
            <w:r>
              <w:rPr>
                <w:rFonts w:hint="eastAsia" w:ascii="宋体" w:hAnsi="宋体" w:cs="宋体"/>
                <w:sz w:val="24"/>
              </w:rPr>
              <w:t>否</w:t>
            </w:r>
          </w:p>
        </w:tc>
      </w:tr>
      <w:tr w14:paraId="78F5E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1AA0490A">
            <w:pPr>
              <w:widowControl/>
              <w:jc w:val="center"/>
              <w:rPr>
                <w:rFonts w:hint="eastAsia" w:ascii="宋体" w:hAnsi="宋体" w:cs="Helvetica"/>
                <w:sz w:val="24"/>
              </w:rPr>
            </w:pPr>
            <w:r>
              <w:rPr>
                <w:rFonts w:hint="eastAsia" w:ascii="宋体" w:hAnsi="宋体" w:cs="Helvetica"/>
                <w:sz w:val="24"/>
              </w:rPr>
              <w:t>11</w:t>
            </w:r>
          </w:p>
        </w:tc>
        <w:tc>
          <w:tcPr>
            <w:tcW w:w="3402" w:type="dxa"/>
            <w:vAlign w:val="center"/>
          </w:tcPr>
          <w:p w14:paraId="6098F15B">
            <w:pPr>
              <w:jc w:val="center"/>
              <w:rPr>
                <w:rFonts w:hint="eastAsia" w:ascii="宋体" w:hAnsi="宋体" w:cs="宋体"/>
                <w:kern w:val="0"/>
                <w:sz w:val="22"/>
                <w:szCs w:val="22"/>
              </w:rPr>
            </w:pPr>
            <w:r>
              <w:rPr>
                <w:rFonts w:hint="eastAsia" w:ascii="宋体" w:hAnsi="宋体" w:cs="宋体"/>
                <w:kern w:val="0"/>
                <w:sz w:val="22"/>
                <w:szCs w:val="22"/>
              </w:rPr>
              <w:t>技术服务</w:t>
            </w:r>
          </w:p>
        </w:tc>
        <w:tc>
          <w:tcPr>
            <w:tcW w:w="816" w:type="dxa"/>
            <w:vAlign w:val="center"/>
          </w:tcPr>
          <w:p w14:paraId="396E2386">
            <w:pPr>
              <w:jc w:val="center"/>
              <w:rPr>
                <w:rFonts w:hint="eastAsia" w:ascii="宋体" w:hAnsi="宋体" w:cs="宋体"/>
                <w:sz w:val="24"/>
              </w:rPr>
            </w:pPr>
            <w:r>
              <w:rPr>
                <w:rFonts w:hint="eastAsia" w:ascii="宋体" w:hAnsi="宋体" w:cs="宋体"/>
                <w:sz w:val="24"/>
              </w:rPr>
              <w:t>1</w:t>
            </w:r>
          </w:p>
        </w:tc>
        <w:tc>
          <w:tcPr>
            <w:tcW w:w="885" w:type="dxa"/>
            <w:vAlign w:val="center"/>
          </w:tcPr>
          <w:p w14:paraId="3B447248">
            <w:pPr>
              <w:jc w:val="center"/>
              <w:rPr>
                <w:rFonts w:hint="eastAsia" w:ascii="宋体" w:hAnsi="宋体" w:cs="宋体"/>
                <w:sz w:val="24"/>
              </w:rPr>
            </w:pPr>
            <w:r>
              <w:rPr>
                <w:rFonts w:hint="eastAsia" w:ascii="宋体" w:hAnsi="宋体" w:cs="宋体"/>
                <w:sz w:val="24"/>
              </w:rPr>
              <w:t>套</w:t>
            </w:r>
          </w:p>
        </w:tc>
        <w:tc>
          <w:tcPr>
            <w:tcW w:w="885" w:type="dxa"/>
            <w:vAlign w:val="center"/>
          </w:tcPr>
          <w:p w14:paraId="1CEE5E1C">
            <w:pPr>
              <w:jc w:val="center"/>
              <w:rPr>
                <w:rFonts w:hint="eastAsia" w:ascii="宋体" w:hAnsi="宋体" w:cs="宋体"/>
                <w:sz w:val="24"/>
              </w:rPr>
            </w:pPr>
            <w:r>
              <w:rPr>
                <w:rFonts w:hint="eastAsia" w:ascii="宋体" w:hAnsi="宋体" w:cs="宋体"/>
                <w:sz w:val="24"/>
              </w:rPr>
              <w:t>否</w:t>
            </w:r>
          </w:p>
        </w:tc>
      </w:tr>
    </w:tbl>
    <w:p w14:paraId="520BB4DB">
      <w:pPr>
        <w:spacing w:line="300" w:lineRule="auto"/>
        <w:ind w:firstLine="420" w:firstLineChars="200"/>
        <w:rPr>
          <w:rFonts w:hint="eastAsia" w:ascii="宋体" w:hAnsi="宋体"/>
          <w:szCs w:val="21"/>
        </w:rPr>
      </w:pPr>
    </w:p>
    <w:p w14:paraId="7E1D5FDE">
      <w:pPr>
        <w:spacing w:line="300" w:lineRule="auto"/>
        <w:ind w:firstLine="482" w:firstLineChars="200"/>
        <w:outlineLvl w:val="1"/>
        <w:rPr>
          <w:rFonts w:hint="eastAsia" w:ascii="宋体" w:hAnsi="宋体"/>
          <w:b/>
          <w:bCs/>
          <w:sz w:val="24"/>
        </w:rPr>
      </w:pPr>
      <w:r>
        <w:rPr>
          <w:rFonts w:hint="eastAsia" w:ascii="宋体" w:hAnsi="宋体"/>
          <w:b/>
          <w:bCs/>
          <w:sz w:val="24"/>
        </w:rPr>
        <w:t>三、货物技术参数及功能指标</w:t>
      </w:r>
    </w:p>
    <w:p w14:paraId="44D34686">
      <w:pPr>
        <w:spacing w:line="300" w:lineRule="auto"/>
        <w:ind w:firstLine="480" w:firstLineChars="200"/>
        <w:rPr>
          <w:rFonts w:hint="eastAsia" w:ascii="宋体" w:hAnsi="宋体"/>
          <w:sz w:val="24"/>
        </w:rPr>
      </w:pPr>
      <w:r>
        <w:rPr>
          <w:rFonts w:hint="eastAsia" w:ascii="宋体" w:hAnsi="宋体"/>
          <w:sz w:val="24"/>
        </w:rPr>
        <w:t>（1）</w:t>
      </w:r>
      <w:r>
        <w:rPr>
          <w:rFonts w:hint="eastAsia" w:ascii="宋体" w:hAnsi="宋体" w:cs="宋体"/>
          <w:sz w:val="24"/>
        </w:rPr>
        <w:t>人工智能通识课程平台</w:t>
      </w:r>
      <w:r>
        <w:rPr>
          <w:rFonts w:hint="eastAsia" w:ascii="宋体" w:hAnsi="宋体"/>
          <w:sz w:val="24"/>
        </w:rPr>
        <w:t>技术参数及功能指标</w:t>
      </w:r>
    </w:p>
    <w:tbl>
      <w:tblPr>
        <w:tblStyle w:val="2"/>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559"/>
        <w:gridCol w:w="6210"/>
      </w:tblGrid>
      <w:tr w14:paraId="2E823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11693B87">
            <w:pPr>
              <w:widowControl/>
              <w:jc w:val="center"/>
              <w:rPr>
                <w:rFonts w:hint="eastAsia" w:ascii="宋体" w:hAnsi="宋体" w:cs="Helvetica"/>
                <w:b/>
                <w:sz w:val="24"/>
              </w:rPr>
            </w:pPr>
            <w:r>
              <w:rPr>
                <w:rFonts w:hint="eastAsia" w:ascii="宋体" w:hAnsi="宋体" w:cs="Helvetica"/>
                <w:b/>
                <w:sz w:val="24"/>
              </w:rPr>
              <w:t>序号</w:t>
            </w:r>
          </w:p>
        </w:tc>
        <w:tc>
          <w:tcPr>
            <w:tcW w:w="1559" w:type="dxa"/>
            <w:vAlign w:val="center"/>
          </w:tcPr>
          <w:p w14:paraId="5F74468F">
            <w:pPr>
              <w:widowControl/>
              <w:jc w:val="center"/>
              <w:rPr>
                <w:rFonts w:hint="eastAsia" w:ascii="宋体" w:hAnsi="宋体" w:cs="Helvetica"/>
                <w:b/>
                <w:sz w:val="24"/>
              </w:rPr>
            </w:pPr>
            <w:r>
              <w:rPr>
                <w:rFonts w:hint="eastAsia" w:ascii="宋体" w:hAnsi="宋体" w:cs="Helvetica"/>
                <w:b/>
                <w:sz w:val="24"/>
              </w:rPr>
              <w:t>货物名称</w:t>
            </w:r>
          </w:p>
        </w:tc>
        <w:tc>
          <w:tcPr>
            <w:tcW w:w="6210" w:type="dxa"/>
            <w:vAlign w:val="center"/>
          </w:tcPr>
          <w:p w14:paraId="74791894">
            <w:pPr>
              <w:widowControl/>
              <w:jc w:val="center"/>
              <w:rPr>
                <w:rFonts w:hint="eastAsia" w:ascii="宋体" w:hAnsi="宋体" w:cs="Helvetica"/>
                <w:b/>
                <w:sz w:val="24"/>
              </w:rPr>
            </w:pPr>
            <w:r>
              <w:rPr>
                <w:rFonts w:hint="eastAsia" w:ascii="宋体" w:hAnsi="宋体" w:cs="Helvetica"/>
                <w:b/>
                <w:sz w:val="24"/>
              </w:rPr>
              <w:t>技术参数及功能指标</w:t>
            </w:r>
          </w:p>
        </w:tc>
      </w:tr>
      <w:tr w14:paraId="4459F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restart"/>
            <w:shd w:val="clear" w:color="auto" w:fill="auto"/>
            <w:vAlign w:val="center"/>
          </w:tcPr>
          <w:p w14:paraId="2EC8C1B7">
            <w:pPr>
              <w:jc w:val="center"/>
              <w:textAlignment w:val="center"/>
              <w:rPr>
                <w:rFonts w:hint="eastAsia" w:eastAsia="宋体"/>
                <w:bCs/>
                <w:szCs w:val="20"/>
                <w:lang w:val="en-US" w:eastAsia="zh-CN"/>
              </w:rPr>
            </w:pPr>
            <w:r>
              <w:rPr>
                <w:rFonts w:hint="eastAsia"/>
                <w:bCs/>
                <w:szCs w:val="20"/>
                <w:lang w:val="en-US" w:eastAsia="zh-CN"/>
              </w:rPr>
              <w:t>1</w:t>
            </w:r>
          </w:p>
        </w:tc>
        <w:tc>
          <w:tcPr>
            <w:tcW w:w="1559" w:type="dxa"/>
            <w:vMerge w:val="restart"/>
            <w:vAlign w:val="center"/>
          </w:tcPr>
          <w:p w14:paraId="7D0575B1">
            <w:pPr>
              <w:jc w:val="center"/>
              <w:textAlignment w:val="center"/>
              <w:rPr>
                <w:bCs/>
                <w:szCs w:val="20"/>
              </w:rPr>
            </w:pPr>
            <w:r>
              <w:rPr>
                <w:rFonts w:hint="eastAsia" w:ascii="宋体" w:hAnsi="宋体" w:cs="宋体"/>
                <w:kern w:val="0"/>
                <w:szCs w:val="21"/>
              </w:rPr>
              <w:t>管理系统</w:t>
            </w:r>
          </w:p>
        </w:tc>
        <w:tc>
          <w:tcPr>
            <w:tcW w:w="6210" w:type="dxa"/>
            <w:vAlign w:val="center"/>
          </w:tcPr>
          <w:p w14:paraId="535C8A3C">
            <w:pPr>
              <w:jc w:val="left"/>
              <w:textAlignment w:val="center"/>
              <w:rPr>
                <w:rFonts w:hint="eastAsia" w:ascii="宋体" w:hAnsi="宋体"/>
                <w:sz w:val="24"/>
              </w:rPr>
            </w:pPr>
            <w:r>
              <w:rPr>
                <w:rFonts w:hint="eastAsia"/>
                <w:bCs/>
                <w:szCs w:val="20"/>
              </w:rPr>
              <w:t>提供实践项目创建功能，支持配置项目元数据与展示信息，包括项目名称、关联知识点、技能标签、难易度、所属学科方向、背景图、封面图以及项目描述等。</w:t>
            </w:r>
          </w:p>
        </w:tc>
      </w:tr>
      <w:tr w14:paraId="3AB7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shd w:val="clear" w:color="auto" w:fill="auto"/>
            <w:vAlign w:val="center"/>
          </w:tcPr>
          <w:p w14:paraId="52F352D2">
            <w:pPr>
              <w:widowControl/>
              <w:spacing w:line="400" w:lineRule="exact"/>
              <w:jc w:val="center"/>
              <w:rPr>
                <w:rFonts w:hint="eastAsia" w:ascii="宋体" w:hAnsi="宋体" w:cs="Helvetica"/>
                <w:sz w:val="24"/>
              </w:rPr>
            </w:pPr>
          </w:p>
        </w:tc>
        <w:tc>
          <w:tcPr>
            <w:tcW w:w="1559" w:type="dxa"/>
            <w:vMerge w:val="continue"/>
            <w:vAlign w:val="center"/>
          </w:tcPr>
          <w:p w14:paraId="16CBA3E0">
            <w:pPr>
              <w:jc w:val="center"/>
              <w:textAlignment w:val="center"/>
              <w:rPr>
                <w:bCs/>
                <w:szCs w:val="20"/>
              </w:rPr>
            </w:pPr>
          </w:p>
        </w:tc>
        <w:tc>
          <w:tcPr>
            <w:tcW w:w="6210" w:type="dxa"/>
            <w:vAlign w:val="center"/>
          </w:tcPr>
          <w:p w14:paraId="21F7279F">
            <w:pPr>
              <w:jc w:val="left"/>
              <w:textAlignment w:val="center"/>
              <w:rPr>
                <w:bCs/>
                <w:szCs w:val="20"/>
              </w:rPr>
            </w:pPr>
            <w:r>
              <w:rPr>
                <w:rFonts w:hint="eastAsia"/>
                <w:bCs/>
                <w:szCs w:val="20"/>
              </w:rPr>
              <w:t>提供数据集全生命周期管理功能，支持通过拖拽或点击方式上传数据集（单文件最大支持100GB），并可在统一管理界面对数据集执行重命名、分享、下载、同步及删除等操作。</w:t>
            </w:r>
          </w:p>
        </w:tc>
      </w:tr>
      <w:tr w14:paraId="7B8E5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shd w:val="clear" w:color="auto" w:fill="auto"/>
            <w:vAlign w:val="center"/>
          </w:tcPr>
          <w:p w14:paraId="15B48447">
            <w:pPr>
              <w:widowControl/>
              <w:spacing w:line="400" w:lineRule="exact"/>
              <w:jc w:val="center"/>
              <w:rPr>
                <w:rFonts w:hint="eastAsia" w:ascii="宋体" w:hAnsi="宋体" w:cs="Helvetica"/>
                <w:sz w:val="24"/>
              </w:rPr>
            </w:pPr>
          </w:p>
        </w:tc>
        <w:tc>
          <w:tcPr>
            <w:tcW w:w="1559" w:type="dxa"/>
            <w:vMerge w:val="continue"/>
            <w:vAlign w:val="center"/>
          </w:tcPr>
          <w:p w14:paraId="5AAAA5D8">
            <w:pPr>
              <w:jc w:val="center"/>
              <w:textAlignment w:val="center"/>
              <w:rPr>
                <w:bCs/>
                <w:szCs w:val="20"/>
              </w:rPr>
            </w:pPr>
          </w:p>
        </w:tc>
        <w:tc>
          <w:tcPr>
            <w:tcW w:w="6210" w:type="dxa"/>
            <w:vAlign w:val="center"/>
          </w:tcPr>
          <w:p w14:paraId="46661EDC">
            <w:pPr>
              <w:jc w:val="left"/>
              <w:textAlignment w:val="center"/>
              <w:rPr>
                <w:bCs/>
                <w:szCs w:val="20"/>
              </w:rPr>
            </w:pPr>
            <w:r>
              <w:rPr>
                <w:rFonts w:hint="eastAsia"/>
                <w:bCs/>
                <w:szCs w:val="20"/>
              </w:rPr>
              <w:t>提供参考答案配置与管理功能，支持为实践项目配置多层级的参考答案（如解题思路、完整答案等），可为每个层级设定独立的扣分规则。同时支持项目管理员控制参考答案对学生端的显示或隐藏状态，并可设置是否允许复制操作</w:t>
            </w:r>
          </w:p>
        </w:tc>
      </w:tr>
      <w:tr w14:paraId="10C70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shd w:val="clear" w:color="auto" w:fill="auto"/>
            <w:vAlign w:val="center"/>
          </w:tcPr>
          <w:p w14:paraId="2317BE5A">
            <w:pPr>
              <w:widowControl/>
              <w:spacing w:line="400" w:lineRule="exact"/>
              <w:jc w:val="center"/>
              <w:rPr>
                <w:rFonts w:hint="eastAsia" w:ascii="宋体" w:hAnsi="宋体" w:cs="Helvetica"/>
                <w:sz w:val="24"/>
              </w:rPr>
            </w:pPr>
          </w:p>
        </w:tc>
        <w:tc>
          <w:tcPr>
            <w:tcW w:w="1559" w:type="dxa"/>
            <w:vMerge w:val="continue"/>
            <w:vAlign w:val="center"/>
          </w:tcPr>
          <w:p w14:paraId="7F87A4F8">
            <w:pPr>
              <w:jc w:val="center"/>
              <w:textAlignment w:val="center"/>
              <w:rPr>
                <w:bCs/>
                <w:szCs w:val="20"/>
              </w:rPr>
            </w:pPr>
          </w:p>
        </w:tc>
        <w:tc>
          <w:tcPr>
            <w:tcW w:w="6210" w:type="dxa"/>
            <w:vAlign w:val="center"/>
          </w:tcPr>
          <w:p w14:paraId="1663F4BB">
            <w:pPr>
              <w:jc w:val="left"/>
              <w:textAlignment w:val="center"/>
              <w:rPr>
                <w:bCs/>
                <w:szCs w:val="20"/>
              </w:rPr>
            </w:pPr>
            <w:r>
              <w:rPr>
                <w:rFonts w:hint="eastAsia"/>
                <w:bCs/>
                <w:szCs w:val="20"/>
              </w:rPr>
              <w:t>▲提供实践项目完整性自动检测功能，支持对实验内容、代码仓库、实验环境、评测规则等关键维度进行完成检测分析，分析结果能直观反馈。</w:t>
            </w:r>
          </w:p>
        </w:tc>
      </w:tr>
      <w:tr w14:paraId="718C3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shd w:val="clear" w:color="auto" w:fill="auto"/>
            <w:vAlign w:val="center"/>
          </w:tcPr>
          <w:p w14:paraId="42D6D932">
            <w:pPr>
              <w:widowControl/>
              <w:spacing w:line="400" w:lineRule="exact"/>
              <w:jc w:val="center"/>
              <w:rPr>
                <w:rFonts w:hint="eastAsia" w:ascii="宋体" w:hAnsi="宋体" w:cs="Helvetica"/>
                <w:sz w:val="24"/>
              </w:rPr>
            </w:pPr>
          </w:p>
        </w:tc>
        <w:tc>
          <w:tcPr>
            <w:tcW w:w="1559" w:type="dxa"/>
            <w:vMerge w:val="continue"/>
            <w:vAlign w:val="center"/>
          </w:tcPr>
          <w:p w14:paraId="5F94B649">
            <w:pPr>
              <w:jc w:val="center"/>
              <w:textAlignment w:val="center"/>
              <w:rPr>
                <w:bCs/>
                <w:szCs w:val="20"/>
              </w:rPr>
            </w:pPr>
          </w:p>
        </w:tc>
        <w:tc>
          <w:tcPr>
            <w:tcW w:w="6210" w:type="dxa"/>
            <w:vAlign w:val="center"/>
          </w:tcPr>
          <w:p w14:paraId="51F45D72">
            <w:pPr>
              <w:jc w:val="left"/>
              <w:textAlignment w:val="center"/>
              <w:rPr>
                <w:bCs/>
                <w:szCs w:val="20"/>
              </w:rPr>
            </w:pPr>
            <w:r>
              <w:rPr>
                <w:rFonts w:hint="eastAsia"/>
                <w:bCs/>
                <w:szCs w:val="20"/>
              </w:rPr>
              <w:t>▲至少支持五种实验运行环境，涵盖在线编程、图形化桌面、命令行、虚拟仿真及交互式笔记环境。所有环境需实现原生集成，确保与平台界面风格及业务流程深度整合，禁止外跳至第三方系统或独立客户端。（需提供相关功能截图</w:t>
            </w:r>
            <w:r>
              <w:rPr>
                <w:rFonts w:hint="eastAsia"/>
                <w:bCs/>
                <w:szCs w:val="20"/>
                <w:lang w:eastAsia="zh-CN"/>
              </w:rPr>
              <w:t>加盖投标人公章</w:t>
            </w:r>
            <w:r>
              <w:rPr>
                <w:rFonts w:hint="eastAsia"/>
                <w:bCs/>
                <w:szCs w:val="20"/>
              </w:rPr>
              <w:t>）</w:t>
            </w:r>
          </w:p>
        </w:tc>
      </w:tr>
      <w:tr w14:paraId="5D644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shd w:val="clear" w:color="auto" w:fill="auto"/>
            <w:vAlign w:val="center"/>
          </w:tcPr>
          <w:p w14:paraId="41C4AE21">
            <w:pPr>
              <w:widowControl/>
              <w:spacing w:line="400" w:lineRule="exact"/>
              <w:jc w:val="center"/>
              <w:rPr>
                <w:rFonts w:hint="eastAsia" w:ascii="宋体" w:hAnsi="宋体" w:cs="Helvetica"/>
                <w:sz w:val="24"/>
              </w:rPr>
            </w:pPr>
          </w:p>
        </w:tc>
        <w:tc>
          <w:tcPr>
            <w:tcW w:w="1559" w:type="dxa"/>
            <w:vMerge w:val="continue"/>
            <w:vAlign w:val="center"/>
          </w:tcPr>
          <w:p w14:paraId="21E9010D">
            <w:pPr>
              <w:jc w:val="center"/>
              <w:textAlignment w:val="center"/>
              <w:rPr>
                <w:bCs/>
                <w:szCs w:val="20"/>
              </w:rPr>
            </w:pPr>
          </w:p>
        </w:tc>
        <w:tc>
          <w:tcPr>
            <w:tcW w:w="6210" w:type="dxa"/>
            <w:vAlign w:val="center"/>
          </w:tcPr>
          <w:p w14:paraId="57A89297">
            <w:pPr>
              <w:jc w:val="left"/>
              <w:textAlignment w:val="center"/>
              <w:rPr>
                <w:bCs/>
                <w:szCs w:val="20"/>
              </w:rPr>
            </w:pPr>
            <w:r>
              <w:rPr>
                <w:rFonts w:hint="eastAsia"/>
                <w:bCs/>
                <w:szCs w:val="20"/>
              </w:rPr>
              <w:t>▲图形化桌面实验环境：支持对单个实验环境的资源应用情况进行监控，支持按时间序列对资源消耗数据（如CPU和内存使用数据）进行可视化展示。（需提供相关功能截图</w:t>
            </w:r>
            <w:r>
              <w:rPr>
                <w:rFonts w:hint="eastAsia"/>
                <w:bCs/>
                <w:szCs w:val="20"/>
                <w:lang w:eastAsia="zh-CN"/>
              </w:rPr>
              <w:t>加盖投标人公章</w:t>
            </w:r>
            <w:r>
              <w:rPr>
                <w:rFonts w:hint="eastAsia"/>
                <w:bCs/>
                <w:szCs w:val="20"/>
              </w:rPr>
              <w:t>）</w:t>
            </w:r>
          </w:p>
        </w:tc>
      </w:tr>
      <w:tr w14:paraId="6F931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shd w:val="clear" w:color="auto" w:fill="auto"/>
            <w:vAlign w:val="center"/>
          </w:tcPr>
          <w:p w14:paraId="378F7A49">
            <w:pPr>
              <w:widowControl/>
              <w:spacing w:line="400" w:lineRule="exact"/>
              <w:jc w:val="center"/>
              <w:rPr>
                <w:rFonts w:hint="eastAsia" w:ascii="宋体" w:hAnsi="宋体" w:cs="Helvetica"/>
                <w:sz w:val="24"/>
              </w:rPr>
            </w:pPr>
          </w:p>
        </w:tc>
        <w:tc>
          <w:tcPr>
            <w:tcW w:w="1559" w:type="dxa"/>
            <w:vMerge w:val="continue"/>
            <w:vAlign w:val="center"/>
          </w:tcPr>
          <w:p w14:paraId="4F392169">
            <w:pPr>
              <w:jc w:val="center"/>
              <w:textAlignment w:val="center"/>
              <w:rPr>
                <w:bCs/>
                <w:szCs w:val="20"/>
              </w:rPr>
            </w:pPr>
          </w:p>
        </w:tc>
        <w:tc>
          <w:tcPr>
            <w:tcW w:w="6210" w:type="dxa"/>
            <w:vAlign w:val="center"/>
          </w:tcPr>
          <w:p w14:paraId="46873316">
            <w:pPr>
              <w:jc w:val="left"/>
              <w:textAlignment w:val="center"/>
              <w:rPr>
                <w:bCs/>
                <w:szCs w:val="20"/>
              </w:rPr>
            </w:pPr>
            <w:r>
              <w:rPr>
                <w:rFonts w:hint="eastAsia"/>
                <w:bCs/>
                <w:szCs w:val="20"/>
              </w:rPr>
              <w:t>▲虚拟仿真实验环境：支持仿真与实战联动的实验模式。建立开发环境与仿真环境间的数据通信链路，使开发环境中程序的运行输出能实时驱动三维仿真模型中对应的动作与行为。</w:t>
            </w:r>
          </w:p>
        </w:tc>
      </w:tr>
      <w:tr w14:paraId="7E7C1CE1">
        <w:tblPrEx>
          <w:tblCellMar>
            <w:top w:w="0" w:type="dxa"/>
            <w:left w:w="108" w:type="dxa"/>
            <w:bottom w:w="0" w:type="dxa"/>
            <w:right w:w="108" w:type="dxa"/>
          </w:tblCellMar>
        </w:tblPrEx>
        <w:trPr>
          <w:jc w:val="center"/>
        </w:trPr>
        <w:tc>
          <w:tcPr>
            <w:tcW w:w="708" w:type="dxa"/>
            <w:vMerge w:val="continue"/>
            <w:shd w:val="clear" w:color="auto" w:fill="auto"/>
            <w:vAlign w:val="center"/>
          </w:tcPr>
          <w:p w14:paraId="282CB216">
            <w:pPr>
              <w:widowControl/>
              <w:spacing w:line="400" w:lineRule="exact"/>
              <w:jc w:val="center"/>
              <w:rPr>
                <w:rFonts w:hint="eastAsia" w:ascii="宋体" w:hAnsi="宋体" w:cs="Helvetica"/>
                <w:sz w:val="24"/>
              </w:rPr>
            </w:pPr>
          </w:p>
        </w:tc>
        <w:tc>
          <w:tcPr>
            <w:tcW w:w="1559" w:type="dxa"/>
            <w:vMerge w:val="continue"/>
            <w:vAlign w:val="center"/>
          </w:tcPr>
          <w:p w14:paraId="31AB3CBB">
            <w:pPr>
              <w:jc w:val="center"/>
              <w:textAlignment w:val="center"/>
              <w:rPr>
                <w:bCs/>
                <w:szCs w:val="20"/>
              </w:rPr>
            </w:pPr>
          </w:p>
        </w:tc>
        <w:tc>
          <w:tcPr>
            <w:tcW w:w="6210" w:type="dxa"/>
            <w:vAlign w:val="center"/>
          </w:tcPr>
          <w:p w14:paraId="2A547F25">
            <w:pPr>
              <w:jc w:val="left"/>
              <w:textAlignment w:val="center"/>
              <w:rPr>
                <w:bCs/>
                <w:szCs w:val="20"/>
              </w:rPr>
            </w:pPr>
            <w:r>
              <w:rPr>
                <w:rFonts w:hint="eastAsia"/>
                <w:bCs/>
                <w:szCs w:val="20"/>
              </w:rPr>
              <w:t>▲虚拟仿真实验环境：提供红蓝对抗仿真训练功能。支持设计对抗案例，允许学员在训练中动态切换不同角色（红方/蓝方）及视角，以对比分析不同角色视角下的执行逻辑与模拟结果差异。</w:t>
            </w:r>
          </w:p>
        </w:tc>
      </w:tr>
      <w:tr w14:paraId="481E9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shd w:val="clear" w:color="auto" w:fill="auto"/>
            <w:vAlign w:val="center"/>
          </w:tcPr>
          <w:p w14:paraId="27ED1C3A">
            <w:pPr>
              <w:widowControl/>
              <w:spacing w:line="400" w:lineRule="exact"/>
              <w:jc w:val="center"/>
              <w:rPr>
                <w:rFonts w:hint="eastAsia" w:ascii="宋体" w:hAnsi="宋体" w:cs="Helvetica"/>
                <w:sz w:val="24"/>
              </w:rPr>
            </w:pPr>
          </w:p>
        </w:tc>
        <w:tc>
          <w:tcPr>
            <w:tcW w:w="1559" w:type="dxa"/>
            <w:vMerge w:val="continue"/>
            <w:vAlign w:val="center"/>
          </w:tcPr>
          <w:p w14:paraId="674D7E5B">
            <w:pPr>
              <w:jc w:val="center"/>
              <w:textAlignment w:val="center"/>
              <w:rPr>
                <w:bCs/>
                <w:szCs w:val="20"/>
              </w:rPr>
            </w:pPr>
          </w:p>
        </w:tc>
        <w:tc>
          <w:tcPr>
            <w:tcW w:w="6210" w:type="dxa"/>
            <w:vAlign w:val="center"/>
          </w:tcPr>
          <w:p w14:paraId="53964149">
            <w:pPr>
              <w:jc w:val="left"/>
              <w:textAlignment w:val="center"/>
              <w:rPr>
                <w:bCs/>
                <w:szCs w:val="20"/>
              </w:rPr>
            </w:pPr>
            <w:r>
              <w:rPr>
                <w:rFonts w:hint="eastAsia"/>
                <w:bCs/>
                <w:szCs w:val="20"/>
              </w:rPr>
              <w:t>▲支持拓展软硬件联动模式，支持通过标准接口（如USB、串口等）将外部硬件终端设备（例如嵌入式开发板、树莓派等）接入实验环境。平台具备自动检测和识别新接入硬件设备的能力。</w:t>
            </w:r>
          </w:p>
        </w:tc>
      </w:tr>
      <w:tr w14:paraId="5CC01F9A">
        <w:tblPrEx>
          <w:tblCellMar>
            <w:top w:w="0" w:type="dxa"/>
            <w:left w:w="108" w:type="dxa"/>
            <w:bottom w:w="0" w:type="dxa"/>
            <w:right w:w="108" w:type="dxa"/>
          </w:tblCellMar>
        </w:tblPrEx>
        <w:trPr>
          <w:jc w:val="center"/>
        </w:trPr>
        <w:tc>
          <w:tcPr>
            <w:tcW w:w="708" w:type="dxa"/>
            <w:vMerge w:val="continue"/>
            <w:shd w:val="clear" w:color="auto" w:fill="auto"/>
            <w:vAlign w:val="center"/>
          </w:tcPr>
          <w:p w14:paraId="6512C676">
            <w:pPr>
              <w:widowControl/>
              <w:spacing w:line="400" w:lineRule="exact"/>
              <w:jc w:val="center"/>
              <w:rPr>
                <w:rFonts w:hint="eastAsia" w:ascii="宋体" w:hAnsi="宋体" w:cs="Helvetica"/>
                <w:sz w:val="24"/>
              </w:rPr>
            </w:pPr>
          </w:p>
        </w:tc>
        <w:tc>
          <w:tcPr>
            <w:tcW w:w="1559" w:type="dxa"/>
            <w:vMerge w:val="continue"/>
            <w:vAlign w:val="center"/>
          </w:tcPr>
          <w:p w14:paraId="37FFFFFE">
            <w:pPr>
              <w:jc w:val="center"/>
              <w:textAlignment w:val="center"/>
              <w:rPr>
                <w:bCs/>
                <w:szCs w:val="20"/>
              </w:rPr>
            </w:pPr>
          </w:p>
        </w:tc>
        <w:tc>
          <w:tcPr>
            <w:tcW w:w="6210" w:type="dxa"/>
            <w:vAlign w:val="center"/>
          </w:tcPr>
          <w:p w14:paraId="5D44E7D3">
            <w:pPr>
              <w:jc w:val="left"/>
              <w:textAlignment w:val="center"/>
              <w:rPr>
                <w:bCs/>
                <w:szCs w:val="20"/>
              </w:rPr>
            </w:pPr>
            <w:r>
              <w:rPr>
                <w:rFonts w:hint="eastAsia"/>
                <w:bCs/>
                <w:szCs w:val="20"/>
              </w:rPr>
              <w:t>▲提供统一的评测规则配置面板，支持包括输出比对（含多种空格处理规则）、自定义逻辑判定及特定规则扩展（如对输出结果的末行进行字符串匹配）在内的多种通关策略配置。</w:t>
            </w:r>
          </w:p>
        </w:tc>
      </w:tr>
      <w:tr w14:paraId="0384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shd w:val="clear" w:color="auto" w:fill="auto"/>
            <w:vAlign w:val="center"/>
          </w:tcPr>
          <w:p w14:paraId="145BA9D2">
            <w:pPr>
              <w:widowControl/>
              <w:spacing w:line="400" w:lineRule="exact"/>
              <w:jc w:val="center"/>
              <w:rPr>
                <w:rFonts w:hint="eastAsia" w:ascii="宋体" w:hAnsi="宋体" w:cs="Helvetica"/>
                <w:sz w:val="24"/>
              </w:rPr>
            </w:pPr>
          </w:p>
        </w:tc>
        <w:tc>
          <w:tcPr>
            <w:tcW w:w="1559" w:type="dxa"/>
            <w:vMerge w:val="continue"/>
            <w:vAlign w:val="center"/>
          </w:tcPr>
          <w:p w14:paraId="5D2829D2">
            <w:pPr>
              <w:jc w:val="center"/>
              <w:textAlignment w:val="center"/>
              <w:rPr>
                <w:bCs/>
                <w:szCs w:val="20"/>
              </w:rPr>
            </w:pPr>
          </w:p>
        </w:tc>
        <w:tc>
          <w:tcPr>
            <w:tcW w:w="6210" w:type="dxa"/>
            <w:vAlign w:val="center"/>
          </w:tcPr>
          <w:p w14:paraId="7905F34C">
            <w:pPr>
              <w:jc w:val="left"/>
              <w:textAlignment w:val="center"/>
              <w:rPr>
                <w:bCs/>
                <w:szCs w:val="20"/>
              </w:rPr>
            </w:pPr>
            <w:r>
              <w:rPr>
                <w:rFonts w:hint="eastAsia"/>
                <w:bCs/>
                <w:szCs w:val="20"/>
              </w:rPr>
              <w:t>★具备对在线编程、图形化桌面、命令行、虚拟仿真及交互式笔记等全部实验环境的统一评测能力，并为每类环境提供可独立配置的评测规则、评测脚本、测试集及输入输出预期。</w:t>
            </w:r>
          </w:p>
        </w:tc>
      </w:tr>
      <w:tr w14:paraId="159C7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shd w:val="clear" w:color="auto" w:fill="auto"/>
            <w:vAlign w:val="center"/>
          </w:tcPr>
          <w:p w14:paraId="166C9E9A">
            <w:pPr>
              <w:widowControl/>
              <w:spacing w:line="400" w:lineRule="exact"/>
              <w:jc w:val="center"/>
              <w:rPr>
                <w:rFonts w:hint="eastAsia" w:ascii="宋体" w:hAnsi="宋体" w:cs="Helvetica"/>
                <w:sz w:val="24"/>
              </w:rPr>
            </w:pPr>
          </w:p>
        </w:tc>
        <w:tc>
          <w:tcPr>
            <w:tcW w:w="1559" w:type="dxa"/>
            <w:vMerge w:val="continue"/>
            <w:vAlign w:val="center"/>
          </w:tcPr>
          <w:p w14:paraId="3653E738">
            <w:pPr>
              <w:jc w:val="center"/>
              <w:textAlignment w:val="center"/>
              <w:rPr>
                <w:bCs/>
                <w:szCs w:val="20"/>
              </w:rPr>
            </w:pPr>
          </w:p>
        </w:tc>
        <w:tc>
          <w:tcPr>
            <w:tcW w:w="6210" w:type="dxa"/>
            <w:vAlign w:val="center"/>
          </w:tcPr>
          <w:p w14:paraId="1314996D">
            <w:pPr>
              <w:jc w:val="left"/>
              <w:textAlignment w:val="center"/>
              <w:rPr>
                <w:bCs/>
                <w:szCs w:val="20"/>
              </w:rPr>
            </w:pPr>
            <w:r>
              <w:rPr>
                <w:rFonts w:hint="eastAsia"/>
                <w:bCs/>
                <w:szCs w:val="20"/>
              </w:rPr>
              <w:t>▲支持交互式笔记实验的自动化评测能力，系统能捕获并关联 Notebook 中所有代码单元的执行状态级输出结果，并基于预设的考核规则对会话整体达成度进行自动化判定与评分。</w:t>
            </w:r>
          </w:p>
        </w:tc>
      </w:tr>
      <w:tr w14:paraId="6E9A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shd w:val="clear" w:color="auto" w:fill="auto"/>
            <w:vAlign w:val="center"/>
          </w:tcPr>
          <w:p w14:paraId="08D6801E">
            <w:pPr>
              <w:widowControl/>
              <w:spacing w:line="400" w:lineRule="exact"/>
              <w:jc w:val="center"/>
              <w:rPr>
                <w:rFonts w:hint="eastAsia" w:ascii="宋体" w:hAnsi="宋体" w:cs="Helvetica"/>
                <w:sz w:val="24"/>
              </w:rPr>
            </w:pPr>
          </w:p>
        </w:tc>
        <w:tc>
          <w:tcPr>
            <w:tcW w:w="1559" w:type="dxa"/>
            <w:vMerge w:val="continue"/>
            <w:vAlign w:val="center"/>
          </w:tcPr>
          <w:p w14:paraId="0632EC5A">
            <w:pPr>
              <w:jc w:val="center"/>
              <w:textAlignment w:val="center"/>
              <w:rPr>
                <w:bCs/>
                <w:szCs w:val="20"/>
              </w:rPr>
            </w:pPr>
          </w:p>
        </w:tc>
        <w:tc>
          <w:tcPr>
            <w:tcW w:w="6210" w:type="dxa"/>
            <w:vAlign w:val="center"/>
          </w:tcPr>
          <w:p w14:paraId="113BE221">
            <w:pPr>
              <w:jc w:val="left"/>
              <w:textAlignment w:val="center"/>
              <w:rPr>
                <w:bCs/>
                <w:szCs w:val="20"/>
              </w:rPr>
            </w:pPr>
            <w:r>
              <w:rPr>
                <w:rFonts w:hint="eastAsia"/>
                <w:bCs/>
                <w:szCs w:val="20"/>
              </w:rPr>
              <w:t>支持管理员和教师用户在线创建教学课堂，支持设置课堂的名称总学时、总学分和结束时间。</w:t>
            </w:r>
          </w:p>
        </w:tc>
      </w:tr>
      <w:tr w14:paraId="4E53F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388DF977">
            <w:pPr>
              <w:jc w:val="center"/>
              <w:textAlignment w:val="center"/>
              <w:rPr>
                <w:bCs/>
                <w:szCs w:val="20"/>
              </w:rPr>
            </w:pPr>
          </w:p>
        </w:tc>
        <w:tc>
          <w:tcPr>
            <w:tcW w:w="1559" w:type="dxa"/>
            <w:vMerge w:val="continue"/>
            <w:vAlign w:val="center"/>
          </w:tcPr>
          <w:p w14:paraId="7E5A66E5">
            <w:pPr>
              <w:jc w:val="center"/>
              <w:textAlignment w:val="center"/>
              <w:rPr>
                <w:bCs/>
                <w:szCs w:val="20"/>
              </w:rPr>
            </w:pPr>
          </w:p>
        </w:tc>
        <w:tc>
          <w:tcPr>
            <w:tcW w:w="6210" w:type="dxa"/>
            <w:vAlign w:val="center"/>
          </w:tcPr>
          <w:p w14:paraId="2DE0F85E">
            <w:pPr>
              <w:jc w:val="left"/>
              <w:textAlignment w:val="center"/>
              <w:rPr>
                <w:bCs/>
                <w:szCs w:val="20"/>
              </w:rPr>
            </w:pPr>
            <w:r>
              <w:rPr>
                <w:rFonts w:hint="eastAsia"/>
                <w:bCs/>
                <w:szCs w:val="20"/>
              </w:rPr>
              <w:t>▲支持分享课堂，提供邀请码和课堂链接两种分享方式，邀请用户加入，支持对通过邀请码或链接加入课堂的用户进行审批。（需提供相关功能截图</w:t>
            </w:r>
            <w:r>
              <w:rPr>
                <w:rFonts w:hint="eastAsia"/>
                <w:bCs/>
                <w:szCs w:val="20"/>
                <w:lang w:eastAsia="zh-CN"/>
              </w:rPr>
              <w:t>加盖投标人公章</w:t>
            </w:r>
            <w:r>
              <w:rPr>
                <w:rFonts w:hint="eastAsia"/>
                <w:bCs/>
                <w:szCs w:val="20"/>
              </w:rPr>
              <w:t>）</w:t>
            </w:r>
          </w:p>
        </w:tc>
      </w:tr>
      <w:tr w14:paraId="2F43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1A58AF13">
            <w:pPr>
              <w:jc w:val="center"/>
              <w:textAlignment w:val="center"/>
              <w:rPr>
                <w:bCs/>
                <w:szCs w:val="20"/>
              </w:rPr>
            </w:pPr>
          </w:p>
        </w:tc>
        <w:tc>
          <w:tcPr>
            <w:tcW w:w="1559" w:type="dxa"/>
            <w:vMerge w:val="continue"/>
            <w:vAlign w:val="center"/>
          </w:tcPr>
          <w:p w14:paraId="23EB189E">
            <w:pPr>
              <w:jc w:val="center"/>
              <w:textAlignment w:val="center"/>
              <w:rPr>
                <w:bCs/>
                <w:szCs w:val="20"/>
              </w:rPr>
            </w:pPr>
          </w:p>
        </w:tc>
        <w:tc>
          <w:tcPr>
            <w:tcW w:w="6210" w:type="dxa"/>
            <w:vAlign w:val="center"/>
          </w:tcPr>
          <w:p w14:paraId="743EE474">
            <w:pPr>
              <w:jc w:val="left"/>
              <w:textAlignment w:val="center"/>
              <w:rPr>
                <w:bCs/>
                <w:szCs w:val="20"/>
              </w:rPr>
            </w:pPr>
            <w:r>
              <w:rPr>
                <w:rFonts w:hint="eastAsia"/>
                <w:bCs/>
                <w:szCs w:val="20"/>
              </w:rPr>
              <w:t>支持选用课堂工具模块，工具模块至少包括通知公告、课堂实验、课堂作业、课堂分班、在线考试、教学资料、互动讨论、数据统计、考勤签到等不少于15个模块。</w:t>
            </w:r>
          </w:p>
        </w:tc>
      </w:tr>
      <w:tr w14:paraId="78DA8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7F315AE2">
            <w:pPr>
              <w:jc w:val="center"/>
              <w:textAlignment w:val="center"/>
              <w:rPr>
                <w:bCs/>
                <w:szCs w:val="20"/>
              </w:rPr>
            </w:pPr>
          </w:p>
        </w:tc>
        <w:tc>
          <w:tcPr>
            <w:tcW w:w="1559" w:type="dxa"/>
            <w:vMerge w:val="continue"/>
            <w:vAlign w:val="center"/>
          </w:tcPr>
          <w:p w14:paraId="7D1ACCFE">
            <w:pPr>
              <w:jc w:val="center"/>
              <w:textAlignment w:val="center"/>
              <w:rPr>
                <w:bCs/>
                <w:szCs w:val="20"/>
              </w:rPr>
            </w:pPr>
          </w:p>
        </w:tc>
        <w:tc>
          <w:tcPr>
            <w:tcW w:w="6210" w:type="dxa"/>
            <w:vAlign w:val="center"/>
          </w:tcPr>
          <w:p w14:paraId="11E0D604">
            <w:pPr>
              <w:jc w:val="left"/>
              <w:textAlignment w:val="center"/>
              <w:rPr>
                <w:bCs/>
                <w:szCs w:val="20"/>
              </w:rPr>
            </w:pPr>
            <w:r>
              <w:rPr>
                <w:rFonts w:hint="eastAsia"/>
                <w:bCs/>
                <w:szCs w:val="20"/>
              </w:rPr>
              <w:t>支持课堂实验作业模式，支持从平台内选择实践项目或者课程中的实践关卡作为实验作业，支持实验作业的在线运行与自动评测。</w:t>
            </w:r>
          </w:p>
        </w:tc>
      </w:tr>
      <w:tr w14:paraId="7E259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3518925E">
            <w:pPr>
              <w:jc w:val="center"/>
              <w:textAlignment w:val="center"/>
              <w:rPr>
                <w:bCs/>
                <w:szCs w:val="20"/>
              </w:rPr>
            </w:pPr>
          </w:p>
        </w:tc>
        <w:tc>
          <w:tcPr>
            <w:tcW w:w="1559" w:type="dxa"/>
            <w:vMerge w:val="continue"/>
            <w:vAlign w:val="center"/>
          </w:tcPr>
          <w:p w14:paraId="3CC5F352">
            <w:pPr>
              <w:jc w:val="center"/>
              <w:textAlignment w:val="center"/>
              <w:rPr>
                <w:bCs/>
                <w:szCs w:val="20"/>
              </w:rPr>
            </w:pPr>
          </w:p>
        </w:tc>
        <w:tc>
          <w:tcPr>
            <w:tcW w:w="6210" w:type="dxa"/>
            <w:vAlign w:val="center"/>
          </w:tcPr>
          <w:p w14:paraId="736B9BC6">
            <w:pPr>
              <w:jc w:val="left"/>
              <w:textAlignment w:val="center"/>
              <w:rPr>
                <w:bCs/>
                <w:szCs w:val="20"/>
              </w:rPr>
            </w:pPr>
            <w:r>
              <w:rPr>
                <w:rFonts w:hint="eastAsia"/>
                <w:bCs/>
                <w:szCs w:val="20"/>
              </w:rPr>
              <w:t>▲支持课堂实验作业自动生成实训报告，记录学员学习全过程，包括提交次数、提交时间、资源消耗情况、代码变更过程等，支持自动计算学生的学习效率和能力值，并以图表展示。（需提供相关功能截图</w:t>
            </w:r>
            <w:r>
              <w:rPr>
                <w:rFonts w:hint="eastAsia"/>
                <w:bCs/>
                <w:szCs w:val="20"/>
                <w:lang w:eastAsia="zh-CN"/>
              </w:rPr>
              <w:t>加盖投标人公章</w:t>
            </w:r>
            <w:r>
              <w:rPr>
                <w:rFonts w:hint="eastAsia"/>
                <w:bCs/>
                <w:szCs w:val="20"/>
              </w:rPr>
              <w:t>）</w:t>
            </w:r>
          </w:p>
        </w:tc>
      </w:tr>
      <w:tr w14:paraId="77E1D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7092CA14">
            <w:pPr>
              <w:jc w:val="center"/>
              <w:textAlignment w:val="center"/>
              <w:rPr>
                <w:bCs/>
                <w:szCs w:val="20"/>
              </w:rPr>
            </w:pPr>
          </w:p>
        </w:tc>
        <w:tc>
          <w:tcPr>
            <w:tcW w:w="1559" w:type="dxa"/>
            <w:vMerge w:val="continue"/>
            <w:vAlign w:val="center"/>
          </w:tcPr>
          <w:p w14:paraId="382F1562">
            <w:pPr>
              <w:jc w:val="center"/>
              <w:textAlignment w:val="center"/>
              <w:rPr>
                <w:bCs/>
                <w:szCs w:val="20"/>
              </w:rPr>
            </w:pPr>
          </w:p>
        </w:tc>
        <w:tc>
          <w:tcPr>
            <w:tcW w:w="6210" w:type="dxa"/>
            <w:vAlign w:val="center"/>
          </w:tcPr>
          <w:p w14:paraId="4C8B9B11">
            <w:pPr>
              <w:jc w:val="left"/>
              <w:textAlignment w:val="center"/>
              <w:rPr>
                <w:bCs/>
                <w:szCs w:val="20"/>
              </w:rPr>
            </w:pPr>
            <w:r>
              <w:rPr>
                <w:rFonts w:hint="eastAsia"/>
                <w:bCs/>
                <w:szCs w:val="20"/>
              </w:rPr>
              <w:t>支持图文作业模式，提供富文本编辑工具环境，支持用户自主设计图文作业，也支持用户从平台图文作业资源中选用作业。</w:t>
            </w:r>
          </w:p>
        </w:tc>
      </w:tr>
      <w:tr w14:paraId="64CE6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6730EDFF">
            <w:pPr>
              <w:jc w:val="center"/>
              <w:textAlignment w:val="center"/>
              <w:rPr>
                <w:bCs/>
                <w:szCs w:val="20"/>
              </w:rPr>
            </w:pPr>
          </w:p>
        </w:tc>
        <w:tc>
          <w:tcPr>
            <w:tcW w:w="1559" w:type="dxa"/>
            <w:vMerge w:val="continue"/>
            <w:vAlign w:val="center"/>
          </w:tcPr>
          <w:p w14:paraId="6B48EA98">
            <w:pPr>
              <w:jc w:val="center"/>
              <w:textAlignment w:val="center"/>
              <w:rPr>
                <w:bCs/>
                <w:szCs w:val="20"/>
              </w:rPr>
            </w:pPr>
          </w:p>
        </w:tc>
        <w:tc>
          <w:tcPr>
            <w:tcW w:w="6210" w:type="dxa"/>
            <w:vAlign w:val="center"/>
          </w:tcPr>
          <w:p w14:paraId="3763FA5E">
            <w:pPr>
              <w:jc w:val="left"/>
              <w:textAlignment w:val="center"/>
              <w:rPr>
                <w:bCs/>
                <w:szCs w:val="20"/>
              </w:rPr>
            </w:pPr>
            <w:r>
              <w:rPr>
                <w:rFonts w:hint="eastAsia"/>
                <w:bCs/>
                <w:szCs w:val="20"/>
              </w:rPr>
              <w:t>▲支持学习达成分析，支持自行设计课堂各模块的权重占比以及每个模块下子目录的权重占比，并根据设置自动计算目标平均达成度。（需提供相关功能截图</w:t>
            </w:r>
            <w:r>
              <w:rPr>
                <w:rFonts w:hint="eastAsia"/>
                <w:bCs/>
                <w:szCs w:val="20"/>
                <w:lang w:eastAsia="zh-CN"/>
              </w:rPr>
              <w:t>加盖投标人公章</w:t>
            </w:r>
            <w:r>
              <w:rPr>
                <w:rFonts w:hint="eastAsia"/>
                <w:bCs/>
                <w:szCs w:val="20"/>
              </w:rPr>
              <w:t>）</w:t>
            </w:r>
          </w:p>
        </w:tc>
      </w:tr>
      <w:tr w14:paraId="72288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501CAB37">
            <w:pPr>
              <w:jc w:val="center"/>
              <w:textAlignment w:val="center"/>
              <w:rPr>
                <w:bCs/>
                <w:szCs w:val="20"/>
              </w:rPr>
            </w:pPr>
          </w:p>
        </w:tc>
        <w:tc>
          <w:tcPr>
            <w:tcW w:w="1559" w:type="dxa"/>
            <w:vMerge w:val="continue"/>
            <w:vAlign w:val="center"/>
          </w:tcPr>
          <w:p w14:paraId="725B9021">
            <w:pPr>
              <w:jc w:val="center"/>
              <w:textAlignment w:val="center"/>
              <w:rPr>
                <w:bCs/>
                <w:szCs w:val="20"/>
              </w:rPr>
            </w:pPr>
          </w:p>
        </w:tc>
        <w:tc>
          <w:tcPr>
            <w:tcW w:w="6210" w:type="dxa"/>
            <w:vAlign w:val="center"/>
          </w:tcPr>
          <w:p w14:paraId="12DA019A">
            <w:pPr>
              <w:jc w:val="left"/>
              <w:textAlignment w:val="center"/>
              <w:rPr>
                <w:bCs/>
                <w:szCs w:val="20"/>
              </w:rPr>
            </w:pPr>
            <w:r>
              <w:rPr>
                <w:rFonts w:hint="eastAsia"/>
                <w:bCs/>
                <w:szCs w:val="20"/>
              </w:rPr>
              <w:t>▲提供试题创建功能，支持单选题、多选题、判断题、填空题、简答题、编程题、编程填空题、实训题、组合题等9类题型创建，可在题干和选项中插入数学公式与数学图像。（需提供相关功能截图</w:t>
            </w:r>
            <w:r>
              <w:rPr>
                <w:rFonts w:hint="eastAsia"/>
                <w:bCs/>
                <w:szCs w:val="20"/>
                <w:lang w:eastAsia="zh-CN"/>
              </w:rPr>
              <w:t>加盖投标人公章</w:t>
            </w:r>
            <w:r>
              <w:rPr>
                <w:rFonts w:hint="eastAsia"/>
                <w:bCs/>
                <w:szCs w:val="20"/>
              </w:rPr>
              <w:t>）</w:t>
            </w:r>
          </w:p>
        </w:tc>
      </w:tr>
      <w:tr w14:paraId="7286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44309F98">
            <w:pPr>
              <w:jc w:val="center"/>
              <w:textAlignment w:val="center"/>
              <w:rPr>
                <w:bCs/>
                <w:szCs w:val="20"/>
              </w:rPr>
            </w:pPr>
          </w:p>
        </w:tc>
        <w:tc>
          <w:tcPr>
            <w:tcW w:w="1559" w:type="dxa"/>
            <w:vMerge w:val="continue"/>
            <w:vAlign w:val="center"/>
          </w:tcPr>
          <w:p w14:paraId="2CFBEE0D">
            <w:pPr>
              <w:jc w:val="center"/>
              <w:textAlignment w:val="center"/>
              <w:rPr>
                <w:bCs/>
                <w:szCs w:val="20"/>
              </w:rPr>
            </w:pPr>
          </w:p>
        </w:tc>
        <w:tc>
          <w:tcPr>
            <w:tcW w:w="6210" w:type="dxa"/>
            <w:vAlign w:val="center"/>
          </w:tcPr>
          <w:p w14:paraId="76435B19">
            <w:pPr>
              <w:jc w:val="left"/>
              <w:textAlignment w:val="center"/>
              <w:rPr>
                <w:bCs/>
                <w:szCs w:val="20"/>
              </w:rPr>
            </w:pPr>
            <w:r>
              <w:rPr>
                <w:rFonts w:hint="eastAsia"/>
                <w:bCs/>
                <w:szCs w:val="20"/>
              </w:rPr>
              <w:t>▲集成在线编程题、实训题运行环境，支持通过添加或批量上传配置编程题、实训题等题型的测试用例，支持基于测试用例的自动化评测。</w:t>
            </w:r>
          </w:p>
        </w:tc>
      </w:tr>
      <w:tr w14:paraId="44C0D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3E3D0FE9">
            <w:pPr>
              <w:jc w:val="center"/>
              <w:textAlignment w:val="center"/>
              <w:rPr>
                <w:bCs/>
                <w:szCs w:val="20"/>
              </w:rPr>
            </w:pPr>
          </w:p>
        </w:tc>
        <w:tc>
          <w:tcPr>
            <w:tcW w:w="1559" w:type="dxa"/>
            <w:vMerge w:val="continue"/>
            <w:vAlign w:val="center"/>
          </w:tcPr>
          <w:p w14:paraId="686A3B95">
            <w:pPr>
              <w:jc w:val="center"/>
              <w:textAlignment w:val="center"/>
              <w:rPr>
                <w:bCs/>
                <w:szCs w:val="20"/>
              </w:rPr>
            </w:pPr>
          </w:p>
        </w:tc>
        <w:tc>
          <w:tcPr>
            <w:tcW w:w="6210" w:type="dxa"/>
            <w:vAlign w:val="center"/>
          </w:tcPr>
          <w:p w14:paraId="05D0A026">
            <w:pPr>
              <w:jc w:val="left"/>
              <w:textAlignment w:val="center"/>
              <w:rPr>
                <w:bCs/>
                <w:szCs w:val="20"/>
              </w:rPr>
            </w:pPr>
            <w:r>
              <w:rPr>
                <w:rFonts w:hint="eastAsia"/>
                <w:bCs/>
                <w:szCs w:val="20"/>
              </w:rPr>
              <w:t>▲提供试题知识点管理功能，支持显示知识点关联试题数量，支持新建、删除、合并知识点以及修改试题关联知识点等操作。</w:t>
            </w:r>
          </w:p>
        </w:tc>
      </w:tr>
      <w:tr w14:paraId="269D4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5A4D9D15">
            <w:pPr>
              <w:jc w:val="center"/>
              <w:textAlignment w:val="center"/>
              <w:rPr>
                <w:bCs/>
                <w:szCs w:val="20"/>
              </w:rPr>
            </w:pPr>
          </w:p>
        </w:tc>
        <w:tc>
          <w:tcPr>
            <w:tcW w:w="1559" w:type="dxa"/>
            <w:vMerge w:val="continue"/>
            <w:vAlign w:val="center"/>
          </w:tcPr>
          <w:p w14:paraId="2F48483A">
            <w:pPr>
              <w:jc w:val="center"/>
              <w:textAlignment w:val="center"/>
              <w:rPr>
                <w:bCs/>
                <w:szCs w:val="20"/>
              </w:rPr>
            </w:pPr>
          </w:p>
        </w:tc>
        <w:tc>
          <w:tcPr>
            <w:tcW w:w="6210" w:type="dxa"/>
            <w:vAlign w:val="center"/>
          </w:tcPr>
          <w:p w14:paraId="4B7A2AF4">
            <w:pPr>
              <w:jc w:val="left"/>
              <w:textAlignment w:val="center"/>
              <w:rPr>
                <w:bCs/>
                <w:szCs w:val="20"/>
              </w:rPr>
            </w:pPr>
            <w:r>
              <w:rPr>
                <w:rFonts w:hint="eastAsia"/>
                <w:bCs/>
                <w:szCs w:val="20"/>
              </w:rPr>
              <w:t>提供随机组卷功能，支持根据试题所属文件夹、知识点、难易度等维度进行抽题，可单独设置每个题型的抽题数量和各小题的分值。支持随机试卷发送至教学课堂，发送时可设置随机生成的试卷数量。</w:t>
            </w:r>
          </w:p>
        </w:tc>
      </w:tr>
      <w:tr w14:paraId="0CC59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128A094C">
            <w:pPr>
              <w:jc w:val="center"/>
              <w:textAlignment w:val="center"/>
              <w:rPr>
                <w:bCs/>
                <w:szCs w:val="20"/>
              </w:rPr>
            </w:pPr>
          </w:p>
        </w:tc>
        <w:tc>
          <w:tcPr>
            <w:tcW w:w="1559" w:type="dxa"/>
            <w:vMerge w:val="continue"/>
            <w:vAlign w:val="center"/>
          </w:tcPr>
          <w:p w14:paraId="5ADBCCED">
            <w:pPr>
              <w:jc w:val="center"/>
              <w:textAlignment w:val="center"/>
              <w:rPr>
                <w:bCs/>
                <w:szCs w:val="20"/>
              </w:rPr>
            </w:pPr>
          </w:p>
        </w:tc>
        <w:tc>
          <w:tcPr>
            <w:tcW w:w="6210" w:type="dxa"/>
            <w:vAlign w:val="center"/>
          </w:tcPr>
          <w:p w14:paraId="78C84A0E">
            <w:pPr>
              <w:jc w:val="left"/>
              <w:textAlignment w:val="center"/>
              <w:rPr>
                <w:bCs/>
                <w:szCs w:val="20"/>
              </w:rPr>
            </w:pPr>
            <w:r>
              <w:rPr>
                <w:rFonts w:hint="eastAsia"/>
                <w:bCs/>
                <w:szCs w:val="20"/>
              </w:rPr>
              <w:t>支持试卷发布管理，具备统一发布、分班发布、立即发布、定时发布、立即结束、定时结束等功能。</w:t>
            </w:r>
          </w:p>
        </w:tc>
      </w:tr>
      <w:tr w14:paraId="65520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1CA51432">
            <w:pPr>
              <w:jc w:val="center"/>
              <w:textAlignment w:val="center"/>
              <w:rPr>
                <w:bCs/>
                <w:szCs w:val="20"/>
              </w:rPr>
            </w:pPr>
          </w:p>
        </w:tc>
        <w:tc>
          <w:tcPr>
            <w:tcW w:w="1559" w:type="dxa"/>
            <w:vMerge w:val="continue"/>
            <w:vAlign w:val="center"/>
          </w:tcPr>
          <w:p w14:paraId="3F84CF15">
            <w:pPr>
              <w:jc w:val="center"/>
              <w:textAlignment w:val="center"/>
              <w:rPr>
                <w:bCs/>
                <w:szCs w:val="20"/>
              </w:rPr>
            </w:pPr>
          </w:p>
        </w:tc>
        <w:tc>
          <w:tcPr>
            <w:tcW w:w="6210" w:type="dxa"/>
            <w:vAlign w:val="center"/>
          </w:tcPr>
          <w:p w14:paraId="4FD6807D">
            <w:pPr>
              <w:jc w:val="left"/>
              <w:textAlignment w:val="center"/>
              <w:rPr>
                <w:bCs/>
                <w:szCs w:val="20"/>
              </w:rPr>
            </w:pPr>
            <w:r>
              <w:rPr>
                <w:rFonts w:hint="eastAsia"/>
                <w:bCs/>
                <w:szCs w:val="20"/>
              </w:rPr>
              <w:t>▲支持ACM排行榜功能，可设置是否展示ACM排行榜，将人工组卷中试卷中的编程题答题情况单独进行排名展示。</w:t>
            </w:r>
          </w:p>
        </w:tc>
      </w:tr>
      <w:tr w14:paraId="4A4FC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79CD5312">
            <w:pPr>
              <w:jc w:val="center"/>
              <w:textAlignment w:val="center"/>
              <w:rPr>
                <w:bCs/>
                <w:szCs w:val="20"/>
              </w:rPr>
            </w:pPr>
          </w:p>
        </w:tc>
        <w:tc>
          <w:tcPr>
            <w:tcW w:w="1559" w:type="dxa"/>
            <w:vMerge w:val="continue"/>
            <w:vAlign w:val="center"/>
          </w:tcPr>
          <w:p w14:paraId="6294B354">
            <w:pPr>
              <w:jc w:val="center"/>
              <w:textAlignment w:val="center"/>
              <w:rPr>
                <w:bCs/>
                <w:szCs w:val="20"/>
              </w:rPr>
            </w:pPr>
          </w:p>
        </w:tc>
        <w:tc>
          <w:tcPr>
            <w:tcW w:w="6210" w:type="dxa"/>
            <w:vAlign w:val="center"/>
          </w:tcPr>
          <w:p w14:paraId="29464617">
            <w:pPr>
              <w:jc w:val="left"/>
              <w:textAlignment w:val="center"/>
              <w:rPr>
                <w:bCs/>
                <w:szCs w:val="20"/>
              </w:rPr>
            </w:pPr>
            <w:r>
              <w:rPr>
                <w:rFonts w:hint="eastAsia"/>
                <w:bCs/>
                <w:szCs w:val="20"/>
              </w:rPr>
              <w:t>★提供切屏检测功能，支持设置切屏判断规则和允许切屏次数，超过次数限制则会被强制交卷。支持检测学生考试过程中的切屏行为，学生考试过程中退出全屏或切换页面，系统按规则对学生屏幕进行自动截屏并保存，老师可以查看学生切出答题界面之后的图片。</w:t>
            </w:r>
          </w:p>
        </w:tc>
      </w:tr>
      <w:tr w14:paraId="09DA9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2818EF91">
            <w:pPr>
              <w:jc w:val="center"/>
              <w:textAlignment w:val="center"/>
              <w:rPr>
                <w:bCs/>
                <w:szCs w:val="20"/>
              </w:rPr>
            </w:pPr>
          </w:p>
        </w:tc>
        <w:tc>
          <w:tcPr>
            <w:tcW w:w="1559" w:type="dxa"/>
            <w:vMerge w:val="continue"/>
            <w:vAlign w:val="center"/>
          </w:tcPr>
          <w:p w14:paraId="1B6BB8FC">
            <w:pPr>
              <w:jc w:val="center"/>
              <w:textAlignment w:val="center"/>
              <w:rPr>
                <w:bCs/>
                <w:szCs w:val="20"/>
              </w:rPr>
            </w:pPr>
          </w:p>
        </w:tc>
        <w:tc>
          <w:tcPr>
            <w:tcW w:w="6210" w:type="dxa"/>
            <w:vAlign w:val="center"/>
          </w:tcPr>
          <w:p w14:paraId="1227CF48">
            <w:pPr>
              <w:jc w:val="left"/>
              <w:textAlignment w:val="center"/>
              <w:rPr>
                <w:bCs/>
                <w:szCs w:val="20"/>
              </w:rPr>
            </w:pPr>
            <w:r>
              <w:rPr>
                <w:rFonts w:hint="eastAsia"/>
                <w:bCs/>
                <w:szCs w:val="20"/>
              </w:rPr>
              <w:t>▲提供考试前人脸身份核验功能，支持学生上传个人照片，进入考试前需要学生进行人脸验证审核，审核通过后才可进入答题。系统人脸审核不通过的学生，支持老师进行人工审核。</w:t>
            </w:r>
          </w:p>
        </w:tc>
      </w:tr>
      <w:tr w14:paraId="79490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4F58E89B">
            <w:pPr>
              <w:jc w:val="center"/>
              <w:textAlignment w:val="center"/>
              <w:rPr>
                <w:bCs/>
                <w:szCs w:val="20"/>
              </w:rPr>
            </w:pPr>
          </w:p>
        </w:tc>
        <w:tc>
          <w:tcPr>
            <w:tcW w:w="1559" w:type="dxa"/>
            <w:vMerge w:val="continue"/>
            <w:vAlign w:val="center"/>
          </w:tcPr>
          <w:p w14:paraId="5782EB68">
            <w:pPr>
              <w:jc w:val="center"/>
              <w:textAlignment w:val="center"/>
              <w:rPr>
                <w:bCs/>
                <w:szCs w:val="20"/>
              </w:rPr>
            </w:pPr>
          </w:p>
        </w:tc>
        <w:tc>
          <w:tcPr>
            <w:tcW w:w="6210" w:type="dxa"/>
            <w:vAlign w:val="center"/>
          </w:tcPr>
          <w:p w14:paraId="15B2FF41">
            <w:pPr>
              <w:jc w:val="left"/>
              <w:textAlignment w:val="center"/>
              <w:rPr>
                <w:bCs/>
                <w:szCs w:val="20"/>
              </w:rPr>
            </w:pPr>
            <w:r>
              <w:rPr>
                <w:rFonts w:hint="eastAsia" w:ascii="宋体" w:hAnsi="宋体"/>
                <w:szCs w:val="21"/>
              </w:rPr>
              <w:t>支持考试代码查重，支持对编程题结果进行代码查重并展示疑似抄袭作品及相似度，可点击查看详情。</w:t>
            </w:r>
          </w:p>
        </w:tc>
      </w:tr>
      <w:tr w14:paraId="6672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restart"/>
            <w:vAlign w:val="center"/>
          </w:tcPr>
          <w:p w14:paraId="0A79E76F">
            <w:pPr>
              <w:jc w:val="center"/>
              <w:textAlignment w:val="center"/>
              <w:rPr>
                <w:rFonts w:hint="eastAsia" w:eastAsia="宋体"/>
                <w:bCs/>
                <w:szCs w:val="20"/>
                <w:lang w:val="en-US" w:eastAsia="zh-CN"/>
              </w:rPr>
            </w:pPr>
            <w:r>
              <w:rPr>
                <w:rFonts w:hint="eastAsia"/>
                <w:bCs/>
                <w:szCs w:val="20"/>
                <w:lang w:val="en-US" w:eastAsia="zh-CN"/>
              </w:rPr>
              <w:t>2</w:t>
            </w:r>
          </w:p>
        </w:tc>
        <w:tc>
          <w:tcPr>
            <w:tcW w:w="1559" w:type="dxa"/>
            <w:vMerge w:val="restart"/>
            <w:vAlign w:val="center"/>
          </w:tcPr>
          <w:p w14:paraId="38F70A33">
            <w:pPr>
              <w:jc w:val="center"/>
              <w:textAlignment w:val="center"/>
              <w:rPr>
                <w:bCs/>
                <w:szCs w:val="20"/>
              </w:rPr>
            </w:pPr>
            <w:r>
              <w:rPr>
                <w:rFonts w:hint="eastAsia" w:ascii="宋体" w:hAnsi="宋体" w:cs="宋体"/>
                <w:kern w:val="0"/>
                <w:szCs w:val="21"/>
              </w:rPr>
              <w:t>课程资源</w:t>
            </w:r>
          </w:p>
        </w:tc>
        <w:tc>
          <w:tcPr>
            <w:tcW w:w="6210" w:type="dxa"/>
            <w:vAlign w:val="center"/>
          </w:tcPr>
          <w:p w14:paraId="20CE7D11">
            <w:pPr>
              <w:jc w:val="left"/>
              <w:textAlignment w:val="center"/>
              <w:rPr>
                <w:bCs/>
                <w:szCs w:val="20"/>
              </w:rPr>
            </w:pPr>
            <w:r>
              <w:rPr>
                <w:rFonts w:hint="eastAsia"/>
                <w:bCs/>
                <w:szCs w:val="20"/>
              </w:rPr>
              <w:t>人工智能通识课程包含人工智能概述、大模型时代的AI基础工具与平台、机器学习、深度学习、计算机视觉、自然语言处理、AI+工学综合应用案例、AI+理学综合应用案例、AI+文学综合应用案例、AI+艺术学综合应用案例等模块内容，提供的实验数量需达到30个。</w:t>
            </w:r>
          </w:p>
        </w:tc>
      </w:tr>
      <w:tr w14:paraId="54996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0C3C4D7A">
            <w:pPr>
              <w:jc w:val="center"/>
              <w:textAlignment w:val="center"/>
              <w:rPr>
                <w:bCs/>
                <w:szCs w:val="20"/>
              </w:rPr>
            </w:pPr>
          </w:p>
        </w:tc>
        <w:tc>
          <w:tcPr>
            <w:tcW w:w="1559" w:type="dxa"/>
            <w:vMerge w:val="continue"/>
            <w:vAlign w:val="center"/>
          </w:tcPr>
          <w:p w14:paraId="097E1542">
            <w:pPr>
              <w:jc w:val="center"/>
              <w:textAlignment w:val="center"/>
              <w:rPr>
                <w:bCs/>
                <w:szCs w:val="20"/>
              </w:rPr>
            </w:pPr>
          </w:p>
        </w:tc>
        <w:tc>
          <w:tcPr>
            <w:tcW w:w="6210" w:type="dxa"/>
            <w:vAlign w:val="center"/>
          </w:tcPr>
          <w:p w14:paraId="5E088886">
            <w:pPr>
              <w:jc w:val="left"/>
              <w:textAlignment w:val="center"/>
              <w:rPr>
                <w:bCs/>
                <w:szCs w:val="20"/>
              </w:rPr>
            </w:pPr>
            <w:r>
              <w:rPr>
                <w:rFonts w:hint="eastAsia"/>
                <w:bCs/>
                <w:szCs w:val="20"/>
              </w:rPr>
              <w:t>人工智能概述模块：提供人工智能发展历程、基本概念、核心技术、典型应用场景、发展趋势及伦理安全等内容，结合生活场景建立AI基础认知。</w:t>
            </w:r>
          </w:p>
        </w:tc>
      </w:tr>
      <w:tr w14:paraId="6B642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6856AE44">
            <w:pPr>
              <w:jc w:val="center"/>
              <w:textAlignment w:val="center"/>
              <w:rPr>
                <w:bCs/>
                <w:szCs w:val="20"/>
              </w:rPr>
            </w:pPr>
          </w:p>
        </w:tc>
        <w:tc>
          <w:tcPr>
            <w:tcW w:w="1559" w:type="dxa"/>
            <w:vMerge w:val="continue"/>
            <w:vAlign w:val="center"/>
          </w:tcPr>
          <w:p w14:paraId="7227ECFF">
            <w:pPr>
              <w:jc w:val="center"/>
              <w:textAlignment w:val="center"/>
              <w:rPr>
                <w:bCs/>
                <w:szCs w:val="20"/>
              </w:rPr>
            </w:pPr>
          </w:p>
        </w:tc>
        <w:tc>
          <w:tcPr>
            <w:tcW w:w="6210" w:type="dxa"/>
            <w:vAlign w:val="center"/>
          </w:tcPr>
          <w:p w14:paraId="551512E1">
            <w:pPr>
              <w:jc w:val="left"/>
              <w:textAlignment w:val="center"/>
              <w:rPr>
                <w:bCs/>
                <w:szCs w:val="20"/>
              </w:rPr>
            </w:pPr>
            <w:r>
              <w:rPr>
                <w:rFonts w:hint="eastAsia"/>
                <w:bCs/>
                <w:szCs w:val="20"/>
              </w:rPr>
              <w:t>大模型时代的AI基础工具与平台模块：提供通用AIGC工具介绍与应用、智能编程工具介绍与应用、智能数据分析工具介绍与应用、智能体开发工具介绍与应用等内容，以低代码和交互式方法，实现AI工具即学即用。</w:t>
            </w:r>
          </w:p>
        </w:tc>
      </w:tr>
      <w:tr w14:paraId="00C9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restart"/>
            <w:vAlign w:val="center"/>
          </w:tcPr>
          <w:p w14:paraId="49E2A60F">
            <w:pPr>
              <w:jc w:val="center"/>
              <w:textAlignment w:val="center"/>
              <w:rPr>
                <w:rFonts w:hint="eastAsia"/>
                <w:bCs/>
                <w:szCs w:val="20"/>
                <w:lang w:val="en-US" w:eastAsia="zh-CN"/>
              </w:rPr>
            </w:pPr>
            <w:r>
              <w:rPr>
                <w:rFonts w:hint="eastAsia"/>
                <w:bCs/>
                <w:szCs w:val="20"/>
                <w:lang w:val="en-US" w:eastAsia="zh-CN"/>
              </w:rPr>
              <w:t>3</w:t>
            </w:r>
          </w:p>
        </w:tc>
        <w:tc>
          <w:tcPr>
            <w:tcW w:w="1559" w:type="dxa"/>
            <w:vMerge w:val="restart"/>
            <w:vAlign w:val="center"/>
          </w:tcPr>
          <w:p w14:paraId="23CFDEAA">
            <w:pPr>
              <w:jc w:val="center"/>
              <w:textAlignment w:val="center"/>
              <w:rPr>
                <w:bCs/>
                <w:szCs w:val="20"/>
              </w:rPr>
            </w:pPr>
            <w:r>
              <w:rPr>
                <w:rFonts w:hint="eastAsia" w:ascii="宋体" w:hAnsi="宋体" w:cs="宋体"/>
                <w:kern w:val="0"/>
                <w:szCs w:val="21"/>
              </w:rPr>
              <w:t>技术服务</w:t>
            </w:r>
          </w:p>
        </w:tc>
        <w:tc>
          <w:tcPr>
            <w:tcW w:w="6210" w:type="dxa"/>
            <w:vAlign w:val="center"/>
          </w:tcPr>
          <w:p w14:paraId="75B3CD54">
            <w:pPr>
              <w:jc w:val="left"/>
              <w:textAlignment w:val="center"/>
              <w:rPr>
                <w:bCs/>
                <w:szCs w:val="20"/>
              </w:rPr>
            </w:pPr>
            <w:r>
              <w:rPr>
                <w:rFonts w:hint="eastAsia"/>
                <w:bCs/>
                <w:szCs w:val="20"/>
              </w:rPr>
              <w:t>云上算力存储环境：要求提供满足500人在线使用的算力、存储资源环境，支持7*24小时访问和使用。</w:t>
            </w:r>
          </w:p>
        </w:tc>
      </w:tr>
      <w:tr w14:paraId="72327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Merge w:val="continue"/>
            <w:vAlign w:val="center"/>
          </w:tcPr>
          <w:p w14:paraId="7025C697">
            <w:pPr>
              <w:jc w:val="center"/>
              <w:textAlignment w:val="center"/>
              <w:rPr>
                <w:bCs/>
                <w:szCs w:val="20"/>
              </w:rPr>
            </w:pPr>
          </w:p>
        </w:tc>
        <w:tc>
          <w:tcPr>
            <w:tcW w:w="1559" w:type="dxa"/>
            <w:vMerge w:val="continue"/>
            <w:vAlign w:val="center"/>
          </w:tcPr>
          <w:p w14:paraId="10AA99F4">
            <w:pPr>
              <w:jc w:val="center"/>
              <w:textAlignment w:val="center"/>
              <w:rPr>
                <w:rFonts w:hint="eastAsia" w:ascii="宋体" w:hAnsi="宋体" w:cs="宋体"/>
                <w:kern w:val="0"/>
                <w:szCs w:val="21"/>
              </w:rPr>
            </w:pPr>
          </w:p>
        </w:tc>
        <w:tc>
          <w:tcPr>
            <w:tcW w:w="6210" w:type="dxa"/>
            <w:vAlign w:val="center"/>
          </w:tcPr>
          <w:p w14:paraId="33C7963A">
            <w:pPr>
              <w:jc w:val="left"/>
              <w:textAlignment w:val="center"/>
              <w:rPr>
                <w:bCs/>
                <w:szCs w:val="20"/>
              </w:rPr>
            </w:pPr>
            <w:r>
              <w:rPr>
                <w:rFonts w:hint="eastAsia"/>
                <w:bCs/>
                <w:szCs w:val="20"/>
              </w:rPr>
              <w:t>服务期限：6个月。</w:t>
            </w:r>
          </w:p>
        </w:tc>
      </w:tr>
    </w:tbl>
    <w:p w14:paraId="5239B5BC">
      <w:pPr>
        <w:spacing w:line="300" w:lineRule="auto"/>
        <w:ind w:firstLine="420" w:firstLineChars="200"/>
        <w:rPr>
          <w:bCs/>
          <w:szCs w:val="20"/>
        </w:rPr>
      </w:pPr>
      <w:r>
        <w:rPr>
          <w:rFonts w:hint="eastAsia"/>
          <w:bCs/>
          <w:szCs w:val="20"/>
        </w:rPr>
        <w:t>（2）</w:t>
      </w:r>
      <w:r>
        <w:rPr>
          <w:rFonts w:hint="eastAsia" w:ascii="宋体" w:hAnsi="宋体" w:cs="宋体"/>
          <w:kern w:val="0"/>
          <w:sz w:val="22"/>
          <w:szCs w:val="22"/>
        </w:rPr>
        <w:t>工业沙盘场景开发实训设备</w:t>
      </w:r>
      <w:r>
        <w:rPr>
          <w:rFonts w:hint="eastAsia" w:ascii="宋体" w:hAnsi="宋体"/>
          <w:sz w:val="24"/>
        </w:rPr>
        <w:t>技术参数及功能指标</w:t>
      </w:r>
    </w:p>
    <w:tbl>
      <w:tblPr>
        <w:tblStyle w:val="2"/>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559"/>
        <w:gridCol w:w="6210"/>
      </w:tblGrid>
      <w:tr w14:paraId="6D9C0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173ABC85">
            <w:pPr>
              <w:widowControl/>
              <w:jc w:val="center"/>
              <w:rPr>
                <w:rFonts w:hint="eastAsia" w:ascii="宋体" w:hAnsi="宋体" w:cs="Helvetica"/>
                <w:b/>
                <w:sz w:val="24"/>
              </w:rPr>
            </w:pPr>
            <w:r>
              <w:rPr>
                <w:rFonts w:hint="eastAsia" w:ascii="宋体" w:hAnsi="宋体" w:cs="Helvetica"/>
                <w:b/>
                <w:sz w:val="24"/>
              </w:rPr>
              <w:t>序号</w:t>
            </w:r>
          </w:p>
        </w:tc>
        <w:tc>
          <w:tcPr>
            <w:tcW w:w="1559" w:type="dxa"/>
            <w:vAlign w:val="center"/>
          </w:tcPr>
          <w:p w14:paraId="02CD6A0C">
            <w:pPr>
              <w:widowControl/>
              <w:jc w:val="center"/>
              <w:rPr>
                <w:rFonts w:hint="eastAsia" w:ascii="宋体" w:hAnsi="宋体" w:cs="Helvetica"/>
                <w:b/>
                <w:sz w:val="24"/>
              </w:rPr>
            </w:pPr>
            <w:r>
              <w:rPr>
                <w:rFonts w:hint="eastAsia" w:ascii="宋体" w:hAnsi="宋体" w:cs="Helvetica"/>
                <w:b/>
                <w:sz w:val="24"/>
              </w:rPr>
              <w:t>货物名称</w:t>
            </w:r>
          </w:p>
        </w:tc>
        <w:tc>
          <w:tcPr>
            <w:tcW w:w="6210" w:type="dxa"/>
            <w:vAlign w:val="center"/>
          </w:tcPr>
          <w:p w14:paraId="420BAAB0">
            <w:pPr>
              <w:widowControl/>
              <w:jc w:val="center"/>
              <w:rPr>
                <w:rFonts w:hint="eastAsia" w:ascii="宋体" w:hAnsi="宋体" w:cs="Helvetica"/>
                <w:b/>
                <w:sz w:val="24"/>
              </w:rPr>
            </w:pPr>
            <w:r>
              <w:rPr>
                <w:rFonts w:hint="eastAsia" w:ascii="宋体" w:hAnsi="宋体" w:cs="Helvetica"/>
                <w:b/>
                <w:sz w:val="24"/>
              </w:rPr>
              <w:t>技术参数及功能指标</w:t>
            </w:r>
          </w:p>
        </w:tc>
      </w:tr>
      <w:tr w14:paraId="711D8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018E08A1">
            <w:pPr>
              <w:widowControl/>
              <w:spacing w:line="400" w:lineRule="exact"/>
              <w:jc w:val="center"/>
              <w:rPr>
                <w:rFonts w:hint="eastAsia" w:ascii="宋体" w:hAnsi="宋体" w:cs="Helvetica"/>
                <w:sz w:val="24"/>
              </w:rPr>
            </w:pPr>
            <w:r>
              <w:rPr>
                <w:rFonts w:hint="eastAsia" w:ascii="宋体" w:hAnsi="宋体" w:cs="Helvetica"/>
                <w:sz w:val="24"/>
              </w:rPr>
              <w:t>1</w:t>
            </w:r>
          </w:p>
        </w:tc>
        <w:tc>
          <w:tcPr>
            <w:tcW w:w="1559" w:type="dxa"/>
            <w:vAlign w:val="center"/>
          </w:tcPr>
          <w:p w14:paraId="4A916849">
            <w:pPr>
              <w:spacing w:line="400" w:lineRule="exact"/>
              <w:jc w:val="center"/>
              <w:rPr>
                <w:rFonts w:hint="eastAsia" w:ascii="宋体" w:hAnsi="宋体" w:cs="宋体"/>
                <w:kern w:val="0"/>
                <w:sz w:val="22"/>
                <w:szCs w:val="22"/>
              </w:rPr>
            </w:pPr>
            <w:r>
              <w:rPr>
                <w:rFonts w:hint="eastAsia" w:ascii="宋体" w:hAnsi="宋体" w:cs="宋体"/>
                <w:color w:val="000000"/>
                <w:kern w:val="0"/>
                <w:sz w:val="22"/>
                <w:szCs w:val="22"/>
              </w:rPr>
              <w:t>机械臂</w:t>
            </w:r>
          </w:p>
        </w:tc>
        <w:tc>
          <w:tcPr>
            <w:tcW w:w="6210" w:type="dxa"/>
            <w:vAlign w:val="center"/>
          </w:tcPr>
          <w:p w14:paraId="6DF8FC03">
            <w:pPr>
              <w:jc w:val="left"/>
              <w:textAlignment w:val="center"/>
              <w:rPr>
                <w:bCs/>
                <w:szCs w:val="20"/>
              </w:rPr>
            </w:pPr>
            <w:r>
              <w:rPr>
                <w:rFonts w:hint="eastAsia" w:ascii="宋体" w:hAnsi="宋体" w:cs="宋体"/>
                <w:kern w:val="0"/>
                <w:sz w:val="22"/>
                <w:szCs w:val="22"/>
              </w:rPr>
              <w:t>桌面机械臂，数量：1套，</w:t>
            </w:r>
            <w:r>
              <w:rPr>
                <w:rFonts w:hint="eastAsia" w:ascii="宋体" w:hAnsi="宋体" w:cs="宋体"/>
                <w:color w:val="000000"/>
                <w:kern w:val="0"/>
                <w:sz w:val="22"/>
                <w:szCs w:val="22"/>
              </w:rPr>
              <w:t>小型机械臂，台面安装，室内，本体重不高于8kg, 额定负载500g，额定功率150W；</w:t>
            </w:r>
          </w:p>
        </w:tc>
      </w:tr>
      <w:tr w14:paraId="027F9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08" w:type="dxa"/>
            <w:vMerge w:val="restart"/>
            <w:vAlign w:val="center"/>
          </w:tcPr>
          <w:p w14:paraId="04954FD3">
            <w:pPr>
              <w:widowControl/>
              <w:spacing w:line="400" w:lineRule="exact"/>
              <w:jc w:val="center"/>
              <w:rPr>
                <w:rFonts w:hint="eastAsia" w:ascii="宋体" w:hAnsi="宋体" w:cs="Helvetica"/>
                <w:sz w:val="24"/>
              </w:rPr>
            </w:pPr>
            <w:r>
              <w:rPr>
                <w:rFonts w:hint="eastAsia" w:ascii="宋体" w:hAnsi="宋体" w:cs="Helvetica"/>
                <w:sz w:val="24"/>
              </w:rPr>
              <w:t>2</w:t>
            </w:r>
          </w:p>
        </w:tc>
        <w:tc>
          <w:tcPr>
            <w:tcW w:w="1559" w:type="dxa"/>
            <w:vMerge w:val="restart"/>
            <w:vAlign w:val="center"/>
          </w:tcPr>
          <w:p w14:paraId="2B3FC417">
            <w:pPr>
              <w:spacing w:line="400" w:lineRule="exact"/>
              <w:jc w:val="center"/>
              <w:rPr>
                <w:rFonts w:hint="eastAsia" w:ascii="宋体" w:hAnsi="宋体" w:cs="宋体"/>
                <w:color w:val="000000"/>
                <w:kern w:val="0"/>
                <w:sz w:val="22"/>
                <w:szCs w:val="22"/>
              </w:rPr>
            </w:pPr>
            <w:r>
              <w:rPr>
                <w:rFonts w:hint="eastAsia" w:ascii="宋体" w:hAnsi="宋体" w:cs="宋体"/>
                <w:color w:val="000000"/>
                <w:kern w:val="0"/>
                <w:sz w:val="22"/>
                <w:szCs w:val="22"/>
              </w:rPr>
              <w:t>工业流水线场景设备</w:t>
            </w:r>
          </w:p>
        </w:tc>
        <w:tc>
          <w:tcPr>
            <w:tcW w:w="6210" w:type="dxa"/>
            <w:vAlign w:val="center"/>
          </w:tcPr>
          <w:p w14:paraId="30EDAD09">
            <w:pPr>
              <w:jc w:val="left"/>
              <w:textAlignment w:val="center"/>
              <w:rPr>
                <w:bCs/>
                <w:szCs w:val="20"/>
              </w:rPr>
            </w:pPr>
            <w:r>
              <w:rPr>
                <w:rFonts w:hint="eastAsia"/>
                <w:bCs/>
                <w:szCs w:val="20"/>
              </w:rPr>
              <w:t>迷你气泵盒</w:t>
            </w:r>
          </w:p>
          <w:p w14:paraId="6356FF3C">
            <w:pPr>
              <w:jc w:val="left"/>
              <w:textAlignment w:val="center"/>
              <w:rPr>
                <w:bCs/>
                <w:szCs w:val="20"/>
              </w:rPr>
            </w:pPr>
            <w:r>
              <w:rPr>
                <w:rFonts w:hint="eastAsia"/>
                <w:bCs/>
                <w:szCs w:val="20"/>
              </w:rPr>
              <w:t>数量：1 台</w:t>
            </w:r>
          </w:p>
          <w:p w14:paraId="7A480132">
            <w:pPr>
              <w:jc w:val="left"/>
              <w:textAlignment w:val="center"/>
              <w:rPr>
                <w:bCs/>
                <w:szCs w:val="20"/>
              </w:rPr>
            </w:pPr>
            <w:r>
              <w:rPr>
                <w:rFonts w:hint="eastAsia"/>
                <w:bCs/>
                <w:szCs w:val="20"/>
              </w:rPr>
              <w:t>工作气压区间 - 70kPa ~ 110kPa；外接气管规格 Φ4mm；设备防护等级 IP20；额定工作直流电压 24V，电压允许波动范围 ±10%。</w:t>
            </w:r>
          </w:p>
        </w:tc>
      </w:tr>
      <w:tr w14:paraId="6EA08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08" w:type="dxa"/>
            <w:vMerge w:val="continue"/>
            <w:vAlign w:val="center"/>
          </w:tcPr>
          <w:p w14:paraId="1BA639C6">
            <w:pPr>
              <w:jc w:val="left"/>
              <w:textAlignment w:val="center"/>
            </w:pPr>
          </w:p>
        </w:tc>
        <w:tc>
          <w:tcPr>
            <w:tcW w:w="1559" w:type="dxa"/>
            <w:vMerge w:val="continue"/>
            <w:vAlign w:val="center"/>
          </w:tcPr>
          <w:p w14:paraId="73BA7DC7">
            <w:pPr>
              <w:jc w:val="left"/>
              <w:textAlignment w:val="center"/>
            </w:pPr>
          </w:p>
        </w:tc>
        <w:tc>
          <w:tcPr>
            <w:tcW w:w="6210" w:type="dxa"/>
            <w:vAlign w:val="center"/>
          </w:tcPr>
          <w:p w14:paraId="7F02D3F7">
            <w:pPr>
              <w:jc w:val="left"/>
              <w:textAlignment w:val="center"/>
              <w:rPr>
                <w:bCs/>
                <w:szCs w:val="20"/>
              </w:rPr>
            </w:pPr>
            <w:r>
              <w:rPr>
                <w:rFonts w:hint="eastAsia"/>
                <w:bCs/>
                <w:szCs w:val="20"/>
              </w:rPr>
              <w:t>流水线传送带</w:t>
            </w:r>
          </w:p>
          <w:p w14:paraId="55E7C060">
            <w:pPr>
              <w:jc w:val="left"/>
              <w:textAlignment w:val="center"/>
              <w:rPr>
                <w:bCs/>
                <w:szCs w:val="20"/>
              </w:rPr>
            </w:pPr>
            <w:r>
              <w:rPr>
                <w:rFonts w:hint="eastAsia"/>
                <w:bCs/>
                <w:szCs w:val="20"/>
              </w:rPr>
              <w:t>数量：1 套</w:t>
            </w:r>
          </w:p>
          <w:p w14:paraId="2C8E3D5D">
            <w:pPr>
              <w:jc w:val="left"/>
              <w:textAlignment w:val="center"/>
              <w:rPr>
                <w:bCs/>
                <w:szCs w:val="20"/>
              </w:rPr>
            </w:pPr>
            <w:r>
              <w:rPr>
                <w:rFonts w:hint="eastAsia"/>
                <w:bCs/>
                <w:szCs w:val="20"/>
              </w:rPr>
              <w:t>皮带有效宽度小于等于200mm；机架采用厚度 2.0mm 的 2040 系列工业铝型材制作；配置绿色耐磨工业皮带；搭载调速电机与专用调速组件，皮带运行速度可调范围 2~15 米 / 分钟；设备供电为交流 220V 市电。</w:t>
            </w:r>
          </w:p>
        </w:tc>
      </w:tr>
      <w:tr w14:paraId="6575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08" w:type="dxa"/>
            <w:vMerge w:val="continue"/>
            <w:vAlign w:val="center"/>
          </w:tcPr>
          <w:p w14:paraId="7A8787EB">
            <w:pPr>
              <w:jc w:val="left"/>
              <w:textAlignment w:val="center"/>
              <w:rPr>
                <w:bCs/>
                <w:szCs w:val="20"/>
              </w:rPr>
            </w:pPr>
          </w:p>
        </w:tc>
        <w:tc>
          <w:tcPr>
            <w:tcW w:w="1559" w:type="dxa"/>
            <w:vMerge w:val="continue"/>
            <w:vAlign w:val="center"/>
          </w:tcPr>
          <w:p w14:paraId="24B72652">
            <w:pPr>
              <w:jc w:val="left"/>
              <w:textAlignment w:val="center"/>
              <w:rPr>
                <w:bCs/>
                <w:szCs w:val="20"/>
              </w:rPr>
            </w:pPr>
          </w:p>
        </w:tc>
        <w:tc>
          <w:tcPr>
            <w:tcW w:w="6210" w:type="dxa"/>
            <w:vAlign w:val="center"/>
          </w:tcPr>
          <w:p w14:paraId="76FF9149">
            <w:pPr>
              <w:jc w:val="left"/>
              <w:textAlignment w:val="center"/>
              <w:rPr>
                <w:bCs/>
                <w:szCs w:val="20"/>
              </w:rPr>
            </w:pPr>
            <w:r>
              <w:rPr>
                <w:rFonts w:hint="eastAsia"/>
                <w:bCs/>
                <w:szCs w:val="20"/>
              </w:rPr>
              <w:t>条形补光灯</w:t>
            </w:r>
          </w:p>
          <w:p w14:paraId="110970E3">
            <w:pPr>
              <w:jc w:val="left"/>
              <w:textAlignment w:val="center"/>
              <w:rPr>
                <w:bCs/>
                <w:szCs w:val="20"/>
              </w:rPr>
            </w:pPr>
            <w:r>
              <w:rPr>
                <w:rFonts w:hint="eastAsia"/>
                <w:bCs/>
                <w:szCs w:val="20"/>
              </w:rPr>
              <w:t>数量：1 套</w:t>
            </w:r>
          </w:p>
          <w:p w14:paraId="6714F82C">
            <w:pPr>
              <w:jc w:val="left"/>
              <w:textAlignment w:val="center"/>
              <w:rPr>
                <w:bCs/>
                <w:szCs w:val="20"/>
              </w:rPr>
            </w:pPr>
            <w:r>
              <w:rPr>
                <w:rFonts w:hint="eastAsia"/>
                <w:bCs/>
                <w:szCs w:val="20"/>
              </w:rPr>
              <w:t>光源为标准白光，色温区间 6500K~7500K；发光区域大于等于150mm×30mm；设计使用寿命不低于 30000 小时；额定工作电压 DC24V。</w:t>
            </w:r>
          </w:p>
        </w:tc>
      </w:tr>
      <w:tr w14:paraId="485DC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08" w:type="dxa"/>
            <w:vMerge w:val="continue"/>
            <w:vAlign w:val="center"/>
          </w:tcPr>
          <w:p w14:paraId="5C6ACC8F">
            <w:pPr>
              <w:jc w:val="left"/>
              <w:textAlignment w:val="center"/>
              <w:rPr>
                <w:bCs/>
                <w:szCs w:val="20"/>
              </w:rPr>
            </w:pPr>
          </w:p>
        </w:tc>
        <w:tc>
          <w:tcPr>
            <w:tcW w:w="1559" w:type="dxa"/>
            <w:vMerge w:val="continue"/>
            <w:vAlign w:val="center"/>
          </w:tcPr>
          <w:p w14:paraId="5DAD2B18">
            <w:pPr>
              <w:jc w:val="left"/>
              <w:textAlignment w:val="center"/>
              <w:rPr>
                <w:bCs/>
                <w:szCs w:val="20"/>
              </w:rPr>
            </w:pPr>
          </w:p>
        </w:tc>
        <w:tc>
          <w:tcPr>
            <w:tcW w:w="6210" w:type="dxa"/>
            <w:vAlign w:val="center"/>
          </w:tcPr>
          <w:p w14:paraId="4C21AD3A">
            <w:pPr>
              <w:jc w:val="left"/>
              <w:textAlignment w:val="center"/>
              <w:rPr>
                <w:bCs/>
                <w:szCs w:val="20"/>
              </w:rPr>
            </w:pPr>
            <w:r>
              <w:rPr>
                <w:rFonts w:hint="eastAsia"/>
                <w:bCs/>
                <w:szCs w:val="20"/>
              </w:rPr>
              <w:t>视觉光源控制器</w:t>
            </w:r>
          </w:p>
          <w:p w14:paraId="5967A4DC">
            <w:pPr>
              <w:jc w:val="left"/>
              <w:textAlignment w:val="center"/>
              <w:rPr>
                <w:bCs/>
                <w:szCs w:val="20"/>
              </w:rPr>
            </w:pPr>
            <w:r>
              <w:rPr>
                <w:rFonts w:hint="eastAsia"/>
                <w:bCs/>
                <w:szCs w:val="20"/>
              </w:rPr>
              <w:t>数量：1 台</w:t>
            </w:r>
          </w:p>
          <w:p w14:paraId="1EA72402">
            <w:pPr>
              <w:jc w:val="left"/>
              <w:textAlignment w:val="center"/>
              <w:rPr>
                <w:bCs/>
                <w:szCs w:val="20"/>
              </w:rPr>
            </w:pPr>
            <w:r>
              <w:rPr>
                <w:rFonts w:hint="eastAsia"/>
                <w:bCs/>
                <w:szCs w:val="20"/>
              </w:rPr>
              <w:t>单路最大输出电流 1.2A；输出直流电压可调范围 17V~24V，专为机器视觉光源配套使用。</w:t>
            </w:r>
          </w:p>
        </w:tc>
      </w:tr>
      <w:tr w14:paraId="64685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08" w:type="dxa"/>
            <w:vMerge w:val="continue"/>
            <w:vAlign w:val="center"/>
          </w:tcPr>
          <w:p w14:paraId="066A2E4B">
            <w:pPr>
              <w:jc w:val="left"/>
              <w:textAlignment w:val="center"/>
              <w:rPr>
                <w:bCs/>
                <w:szCs w:val="20"/>
              </w:rPr>
            </w:pPr>
          </w:p>
        </w:tc>
        <w:tc>
          <w:tcPr>
            <w:tcW w:w="1559" w:type="dxa"/>
            <w:vMerge w:val="continue"/>
            <w:vAlign w:val="center"/>
          </w:tcPr>
          <w:p w14:paraId="43DDB9EA">
            <w:pPr>
              <w:jc w:val="left"/>
              <w:textAlignment w:val="center"/>
              <w:rPr>
                <w:bCs/>
                <w:szCs w:val="20"/>
              </w:rPr>
            </w:pPr>
          </w:p>
        </w:tc>
        <w:tc>
          <w:tcPr>
            <w:tcW w:w="6210" w:type="dxa"/>
            <w:vAlign w:val="center"/>
          </w:tcPr>
          <w:p w14:paraId="079C91BC">
            <w:pPr>
              <w:jc w:val="left"/>
              <w:textAlignment w:val="center"/>
              <w:rPr>
                <w:bCs/>
                <w:szCs w:val="20"/>
              </w:rPr>
            </w:pPr>
            <w:r>
              <w:rPr>
                <w:rFonts w:hint="eastAsia"/>
                <w:bCs/>
                <w:szCs w:val="20"/>
              </w:rPr>
              <w:t>补光灯安装支架</w:t>
            </w:r>
          </w:p>
          <w:p w14:paraId="06D0710B">
            <w:pPr>
              <w:jc w:val="left"/>
              <w:textAlignment w:val="center"/>
              <w:rPr>
                <w:bCs/>
                <w:szCs w:val="20"/>
              </w:rPr>
            </w:pPr>
            <w:r>
              <w:rPr>
                <w:rFonts w:hint="eastAsia"/>
                <w:bCs/>
                <w:szCs w:val="20"/>
              </w:rPr>
              <w:t>数量：1 套</w:t>
            </w:r>
          </w:p>
          <w:p w14:paraId="7145FA63">
            <w:pPr>
              <w:jc w:val="left"/>
              <w:textAlignment w:val="center"/>
              <w:rPr>
                <w:bCs/>
                <w:szCs w:val="20"/>
              </w:rPr>
            </w:pPr>
            <w:r>
              <w:rPr>
                <w:rFonts w:hint="eastAsia"/>
                <w:bCs/>
                <w:szCs w:val="20"/>
              </w:rPr>
              <w:t>工业通用安装支架，适配流水线侧面安装方式，可稳固固定工业相机、条形补光灯，满足现场安装使用要求。</w:t>
            </w:r>
          </w:p>
        </w:tc>
      </w:tr>
      <w:tr w14:paraId="3B9AB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08" w:type="dxa"/>
            <w:vMerge w:val="continue"/>
            <w:vAlign w:val="center"/>
          </w:tcPr>
          <w:p w14:paraId="597F8BEF">
            <w:pPr>
              <w:jc w:val="left"/>
              <w:textAlignment w:val="center"/>
              <w:rPr>
                <w:bCs/>
                <w:szCs w:val="20"/>
              </w:rPr>
            </w:pPr>
          </w:p>
        </w:tc>
        <w:tc>
          <w:tcPr>
            <w:tcW w:w="1559" w:type="dxa"/>
            <w:vMerge w:val="continue"/>
            <w:vAlign w:val="center"/>
          </w:tcPr>
          <w:p w14:paraId="7AB9C96F">
            <w:pPr>
              <w:jc w:val="left"/>
              <w:textAlignment w:val="center"/>
              <w:rPr>
                <w:bCs/>
                <w:szCs w:val="20"/>
              </w:rPr>
            </w:pPr>
          </w:p>
        </w:tc>
        <w:tc>
          <w:tcPr>
            <w:tcW w:w="6210" w:type="dxa"/>
            <w:vAlign w:val="center"/>
          </w:tcPr>
          <w:p w14:paraId="0FAEF650">
            <w:pPr>
              <w:jc w:val="left"/>
              <w:textAlignment w:val="center"/>
              <w:rPr>
                <w:bCs/>
                <w:szCs w:val="20"/>
              </w:rPr>
            </w:pPr>
            <w:r>
              <w:rPr>
                <w:rFonts w:hint="eastAsia"/>
                <w:bCs/>
                <w:szCs w:val="20"/>
              </w:rPr>
              <w:t>工业彩色相机</w:t>
            </w:r>
          </w:p>
          <w:p w14:paraId="408DB737">
            <w:pPr>
              <w:jc w:val="left"/>
              <w:textAlignment w:val="center"/>
              <w:rPr>
                <w:bCs/>
                <w:szCs w:val="20"/>
              </w:rPr>
            </w:pPr>
            <w:r>
              <w:rPr>
                <w:rFonts w:hint="eastAsia"/>
                <w:bCs/>
                <w:szCs w:val="20"/>
              </w:rPr>
              <w:t>数量：1 台</w:t>
            </w:r>
          </w:p>
          <w:p w14:paraId="55AE8A2F">
            <w:pPr>
              <w:jc w:val="left"/>
              <w:textAlignment w:val="center"/>
              <w:rPr>
                <w:bCs/>
                <w:szCs w:val="20"/>
              </w:rPr>
            </w:pPr>
            <w:r>
              <w:rPr>
                <w:rFonts w:hint="eastAsia"/>
                <w:bCs/>
                <w:szCs w:val="20"/>
              </w:rPr>
              <w:t>成像规格：230 万彩色像素；有效分辨率 1920 (水平)×1200 (垂直)；通讯接口为 USB3.0 高速接口；采用 USB 总线供电，额定供电电压 DC5V。</w:t>
            </w:r>
          </w:p>
        </w:tc>
      </w:tr>
      <w:tr w14:paraId="5379B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08" w:type="dxa"/>
            <w:vMerge w:val="continue"/>
            <w:vAlign w:val="center"/>
          </w:tcPr>
          <w:p w14:paraId="5217A46E">
            <w:pPr>
              <w:jc w:val="left"/>
              <w:textAlignment w:val="center"/>
              <w:rPr>
                <w:bCs/>
                <w:szCs w:val="20"/>
              </w:rPr>
            </w:pPr>
          </w:p>
        </w:tc>
        <w:tc>
          <w:tcPr>
            <w:tcW w:w="1559" w:type="dxa"/>
            <w:vMerge w:val="continue"/>
            <w:vAlign w:val="center"/>
          </w:tcPr>
          <w:p w14:paraId="42E36671">
            <w:pPr>
              <w:jc w:val="left"/>
              <w:textAlignment w:val="center"/>
              <w:rPr>
                <w:bCs/>
                <w:szCs w:val="20"/>
              </w:rPr>
            </w:pPr>
          </w:p>
        </w:tc>
        <w:tc>
          <w:tcPr>
            <w:tcW w:w="6210" w:type="dxa"/>
            <w:vAlign w:val="center"/>
          </w:tcPr>
          <w:p w14:paraId="7A5C41EF">
            <w:pPr>
              <w:jc w:val="left"/>
              <w:textAlignment w:val="center"/>
              <w:rPr>
                <w:bCs/>
                <w:szCs w:val="20"/>
              </w:rPr>
            </w:pPr>
            <w:r>
              <w:rPr>
                <w:rFonts w:hint="eastAsia"/>
                <w:bCs/>
                <w:szCs w:val="20"/>
              </w:rPr>
              <w:t>定焦镜头</w:t>
            </w:r>
          </w:p>
          <w:p w14:paraId="01AB200C">
            <w:pPr>
              <w:jc w:val="left"/>
              <w:textAlignment w:val="center"/>
              <w:rPr>
                <w:bCs/>
                <w:szCs w:val="20"/>
              </w:rPr>
            </w:pPr>
            <w:r>
              <w:rPr>
                <w:rFonts w:hint="eastAsia"/>
                <w:bCs/>
                <w:szCs w:val="20"/>
              </w:rPr>
              <w:t>数量：1 个</w:t>
            </w:r>
          </w:p>
          <w:p w14:paraId="5A9BFB8D">
            <w:pPr>
              <w:jc w:val="left"/>
              <w:textAlignment w:val="center"/>
              <w:rPr>
                <w:bCs/>
                <w:szCs w:val="20"/>
              </w:rPr>
            </w:pPr>
            <w:r>
              <w:rPr>
                <w:rFonts w:hint="eastAsia"/>
                <w:bCs/>
                <w:szCs w:val="20"/>
              </w:rPr>
              <w:t>光学焦距 8mm，配套本项目工业相机使用。</w:t>
            </w:r>
          </w:p>
        </w:tc>
      </w:tr>
      <w:tr w14:paraId="38CAD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08" w:type="dxa"/>
            <w:vMerge w:val="continue"/>
            <w:vAlign w:val="center"/>
          </w:tcPr>
          <w:p w14:paraId="3FF9E3B8">
            <w:pPr>
              <w:jc w:val="left"/>
              <w:textAlignment w:val="center"/>
              <w:rPr>
                <w:bCs/>
                <w:szCs w:val="20"/>
              </w:rPr>
            </w:pPr>
          </w:p>
        </w:tc>
        <w:tc>
          <w:tcPr>
            <w:tcW w:w="1559" w:type="dxa"/>
            <w:vMerge w:val="continue"/>
            <w:vAlign w:val="center"/>
          </w:tcPr>
          <w:p w14:paraId="31B0F0A0">
            <w:pPr>
              <w:jc w:val="left"/>
              <w:textAlignment w:val="center"/>
              <w:rPr>
                <w:bCs/>
                <w:szCs w:val="20"/>
              </w:rPr>
            </w:pPr>
          </w:p>
        </w:tc>
        <w:tc>
          <w:tcPr>
            <w:tcW w:w="6210" w:type="dxa"/>
            <w:vAlign w:val="center"/>
          </w:tcPr>
          <w:p w14:paraId="5F460372">
            <w:pPr>
              <w:jc w:val="left"/>
              <w:textAlignment w:val="center"/>
              <w:rPr>
                <w:bCs/>
                <w:szCs w:val="20"/>
              </w:rPr>
            </w:pPr>
            <w:r>
              <w:rPr>
                <w:rFonts w:hint="eastAsia"/>
                <w:bCs/>
                <w:szCs w:val="20"/>
              </w:rPr>
              <w:t>高速数据线</w:t>
            </w:r>
          </w:p>
          <w:p w14:paraId="47B21072">
            <w:pPr>
              <w:jc w:val="left"/>
              <w:textAlignment w:val="center"/>
              <w:rPr>
                <w:bCs/>
                <w:szCs w:val="20"/>
              </w:rPr>
            </w:pPr>
            <w:r>
              <w:rPr>
                <w:rFonts w:hint="eastAsia"/>
                <w:bCs/>
                <w:szCs w:val="20"/>
              </w:rPr>
              <w:t>数量：1 条</w:t>
            </w:r>
          </w:p>
          <w:p w14:paraId="17ACFBB5">
            <w:pPr>
              <w:jc w:val="left"/>
              <w:textAlignment w:val="center"/>
              <w:rPr>
                <w:bCs/>
                <w:szCs w:val="20"/>
              </w:rPr>
            </w:pPr>
            <w:r>
              <w:rPr>
                <w:rFonts w:hint="eastAsia"/>
                <w:bCs/>
                <w:szCs w:val="20"/>
              </w:rPr>
              <w:t>接口类型：USB3.0 Micro-B 转 USB-A；线缆总长 3m；</w:t>
            </w:r>
            <w:r>
              <w:rPr>
                <w:bCs/>
                <w:szCs w:val="20"/>
              </w:rPr>
              <w:t xml:space="preserve"> </w:t>
            </w:r>
          </w:p>
        </w:tc>
      </w:tr>
      <w:tr w14:paraId="65F6F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08" w:type="dxa"/>
            <w:vMerge w:val="continue"/>
            <w:vAlign w:val="center"/>
          </w:tcPr>
          <w:p w14:paraId="7871ECFD">
            <w:pPr>
              <w:jc w:val="left"/>
              <w:textAlignment w:val="center"/>
              <w:rPr>
                <w:bCs/>
                <w:szCs w:val="20"/>
              </w:rPr>
            </w:pPr>
          </w:p>
        </w:tc>
        <w:tc>
          <w:tcPr>
            <w:tcW w:w="1559" w:type="dxa"/>
            <w:vMerge w:val="continue"/>
            <w:vAlign w:val="center"/>
          </w:tcPr>
          <w:p w14:paraId="672A955A">
            <w:pPr>
              <w:jc w:val="left"/>
              <w:textAlignment w:val="center"/>
              <w:rPr>
                <w:bCs/>
                <w:szCs w:val="20"/>
              </w:rPr>
            </w:pPr>
          </w:p>
        </w:tc>
        <w:tc>
          <w:tcPr>
            <w:tcW w:w="6210" w:type="dxa"/>
            <w:vAlign w:val="center"/>
          </w:tcPr>
          <w:p w14:paraId="5D34D10F">
            <w:pPr>
              <w:jc w:val="left"/>
              <w:textAlignment w:val="center"/>
              <w:rPr>
                <w:bCs/>
                <w:szCs w:val="20"/>
              </w:rPr>
            </w:pPr>
            <w:r>
              <w:rPr>
                <w:rFonts w:hint="eastAsia"/>
                <w:bCs/>
                <w:szCs w:val="20"/>
              </w:rPr>
              <w:t>HDMI 液晶显示器</w:t>
            </w:r>
          </w:p>
          <w:p w14:paraId="569A24CA">
            <w:pPr>
              <w:jc w:val="left"/>
              <w:textAlignment w:val="center"/>
              <w:rPr>
                <w:bCs/>
                <w:szCs w:val="20"/>
              </w:rPr>
            </w:pPr>
            <w:r>
              <w:rPr>
                <w:rFonts w:hint="eastAsia"/>
                <w:bCs/>
                <w:szCs w:val="20"/>
              </w:rPr>
              <w:t>数量：1 台</w:t>
            </w:r>
          </w:p>
          <w:p w14:paraId="404CBAB2">
            <w:pPr>
              <w:jc w:val="left"/>
              <w:textAlignment w:val="center"/>
              <w:rPr>
                <w:bCs/>
                <w:szCs w:val="20"/>
              </w:rPr>
            </w:pPr>
            <w:r>
              <w:rPr>
                <w:rFonts w:hint="eastAsia"/>
                <w:bCs/>
                <w:szCs w:val="20"/>
              </w:rPr>
              <w:t>屏幕尺寸 23.8 英寸；物理分辨率 1920×1080，支持 HDMI 信号输入。</w:t>
            </w:r>
          </w:p>
        </w:tc>
      </w:tr>
      <w:tr w14:paraId="3CEC19AA">
        <w:tblPrEx>
          <w:tblCellMar>
            <w:top w:w="0" w:type="dxa"/>
            <w:left w:w="108" w:type="dxa"/>
            <w:bottom w:w="0" w:type="dxa"/>
            <w:right w:w="108" w:type="dxa"/>
          </w:tblCellMar>
        </w:tblPrEx>
        <w:trPr>
          <w:trHeight w:val="708" w:hRule="atLeast"/>
          <w:jc w:val="center"/>
        </w:trPr>
        <w:tc>
          <w:tcPr>
            <w:tcW w:w="708" w:type="dxa"/>
            <w:vMerge w:val="continue"/>
            <w:vAlign w:val="center"/>
          </w:tcPr>
          <w:p w14:paraId="3B54C142">
            <w:pPr>
              <w:jc w:val="left"/>
              <w:textAlignment w:val="center"/>
              <w:rPr>
                <w:bCs/>
                <w:szCs w:val="20"/>
              </w:rPr>
            </w:pPr>
          </w:p>
        </w:tc>
        <w:tc>
          <w:tcPr>
            <w:tcW w:w="1559" w:type="dxa"/>
            <w:vMerge w:val="continue"/>
            <w:vAlign w:val="center"/>
          </w:tcPr>
          <w:p w14:paraId="42BBC8BC">
            <w:pPr>
              <w:jc w:val="left"/>
              <w:textAlignment w:val="center"/>
              <w:rPr>
                <w:bCs/>
                <w:szCs w:val="20"/>
              </w:rPr>
            </w:pPr>
          </w:p>
        </w:tc>
        <w:tc>
          <w:tcPr>
            <w:tcW w:w="6210" w:type="dxa"/>
            <w:vAlign w:val="center"/>
          </w:tcPr>
          <w:p w14:paraId="054890C2">
            <w:pPr>
              <w:jc w:val="left"/>
              <w:textAlignment w:val="center"/>
              <w:rPr>
                <w:bCs/>
                <w:szCs w:val="20"/>
              </w:rPr>
            </w:pPr>
            <w:r>
              <w:rPr>
                <w:rFonts w:hint="eastAsia"/>
                <w:bCs/>
                <w:szCs w:val="20"/>
              </w:rPr>
              <w:t>有线鼠标</w:t>
            </w:r>
          </w:p>
          <w:p w14:paraId="29873C11">
            <w:pPr>
              <w:jc w:val="left"/>
              <w:textAlignment w:val="center"/>
              <w:rPr>
                <w:bCs/>
                <w:szCs w:val="20"/>
              </w:rPr>
            </w:pPr>
            <w:r>
              <w:rPr>
                <w:rFonts w:hint="eastAsia"/>
                <w:bCs/>
                <w:szCs w:val="20"/>
              </w:rPr>
              <w:t>数量：1 个</w:t>
            </w:r>
          </w:p>
          <w:p w14:paraId="044520F3">
            <w:pPr>
              <w:jc w:val="left"/>
              <w:textAlignment w:val="center"/>
              <w:rPr>
                <w:bCs/>
                <w:szCs w:val="20"/>
              </w:rPr>
            </w:pPr>
            <w:r>
              <w:rPr>
                <w:rFonts w:hint="eastAsia"/>
                <w:bCs/>
                <w:szCs w:val="20"/>
              </w:rPr>
              <w:t>标准工业有线鼠标，线缆长度 2m，外观为黑色。</w:t>
            </w:r>
          </w:p>
        </w:tc>
      </w:tr>
      <w:tr w14:paraId="4A53F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8" w:type="dxa"/>
            <w:vMerge w:val="restart"/>
            <w:vAlign w:val="center"/>
          </w:tcPr>
          <w:p w14:paraId="018DADE0">
            <w:pPr>
              <w:widowControl/>
              <w:spacing w:line="400" w:lineRule="exact"/>
              <w:jc w:val="center"/>
              <w:rPr>
                <w:rFonts w:hint="eastAsia" w:ascii="宋体" w:hAnsi="宋体" w:cs="Helvetica"/>
                <w:sz w:val="24"/>
              </w:rPr>
            </w:pPr>
            <w:r>
              <w:rPr>
                <w:rFonts w:hint="eastAsia" w:ascii="宋体" w:hAnsi="宋体" w:cs="Helvetica"/>
                <w:sz w:val="24"/>
              </w:rPr>
              <w:t>3</w:t>
            </w:r>
          </w:p>
        </w:tc>
        <w:tc>
          <w:tcPr>
            <w:tcW w:w="1559" w:type="dxa"/>
            <w:vMerge w:val="restart"/>
            <w:vAlign w:val="center"/>
          </w:tcPr>
          <w:p w14:paraId="3D7EAFF9">
            <w:pPr>
              <w:spacing w:line="400" w:lineRule="exact"/>
              <w:jc w:val="center"/>
              <w:rPr>
                <w:rFonts w:hint="eastAsia" w:ascii="宋体" w:hAnsi="宋体" w:cs="宋体"/>
                <w:color w:val="000000"/>
                <w:kern w:val="0"/>
                <w:sz w:val="22"/>
                <w:szCs w:val="22"/>
              </w:rPr>
            </w:pPr>
            <w:r>
              <w:rPr>
                <w:rFonts w:hint="eastAsia" w:ascii="宋体" w:hAnsi="宋体" w:cs="宋体"/>
                <w:color w:val="000000"/>
                <w:kern w:val="0"/>
                <w:sz w:val="22"/>
                <w:szCs w:val="22"/>
              </w:rPr>
              <w:t>工业 PDA</w:t>
            </w:r>
          </w:p>
        </w:tc>
        <w:tc>
          <w:tcPr>
            <w:tcW w:w="6210" w:type="dxa"/>
            <w:vAlign w:val="center"/>
          </w:tcPr>
          <w:p w14:paraId="618D2A18">
            <w:pPr>
              <w:jc w:val="left"/>
              <w:textAlignment w:val="center"/>
              <w:rPr>
                <w:bCs/>
                <w:szCs w:val="20"/>
              </w:rPr>
            </w:pPr>
            <w:r>
              <w:rPr>
                <w:rFonts w:hint="eastAsia"/>
                <w:bCs/>
                <w:szCs w:val="20"/>
              </w:rPr>
              <w:t>硬件核心：主控芯片 RK3568，搭载鸿蒙操作系统，运行内存 4GB、机身存储 64GB；</w:t>
            </w:r>
          </w:p>
        </w:tc>
      </w:tr>
      <w:tr w14:paraId="1AB57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Merge w:val="continue"/>
            <w:vAlign w:val="center"/>
          </w:tcPr>
          <w:p w14:paraId="0124FE7F">
            <w:pPr>
              <w:jc w:val="left"/>
              <w:textAlignment w:val="center"/>
            </w:pPr>
          </w:p>
        </w:tc>
        <w:tc>
          <w:tcPr>
            <w:tcW w:w="1559" w:type="dxa"/>
            <w:vMerge w:val="continue"/>
            <w:vAlign w:val="center"/>
          </w:tcPr>
          <w:p w14:paraId="33D22628">
            <w:pPr>
              <w:jc w:val="left"/>
              <w:textAlignment w:val="center"/>
            </w:pPr>
          </w:p>
        </w:tc>
        <w:tc>
          <w:tcPr>
            <w:tcW w:w="6210" w:type="dxa"/>
            <w:vAlign w:val="center"/>
          </w:tcPr>
          <w:p w14:paraId="1455EF42">
            <w:pPr>
              <w:jc w:val="left"/>
              <w:textAlignment w:val="center"/>
              <w:rPr>
                <w:bCs/>
                <w:szCs w:val="20"/>
              </w:rPr>
            </w:pPr>
            <w:r>
              <w:rPr>
                <w:rFonts w:hint="eastAsia"/>
                <w:bCs/>
                <w:szCs w:val="20"/>
              </w:rPr>
              <w:t>显示模块：5 英寸显示屏，屏幕分辨率 720×1280；</w:t>
            </w:r>
          </w:p>
        </w:tc>
      </w:tr>
      <w:tr w14:paraId="55CA5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708" w:type="dxa"/>
            <w:vMerge w:val="continue"/>
            <w:vAlign w:val="center"/>
          </w:tcPr>
          <w:p w14:paraId="511A2DE2">
            <w:pPr>
              <w:jc w:val="left"/>
              <w:textAlignment w:val="center"/>
              <w:rPr>
                <w:bCs/>
                <w:szCs w:val="20"/>
              </w:rPr>
            </w:pPr>
          </w:p>
        </w:tc>
        <w:tc>
          <w:tcPr>
            <w:tcW w:w="1559" w:type="dxa"/>
            <w:vMerge w:val="continue"/>
            <w:vAlign w:val="center"/>
          </w:tcPr>
          <w:p w14:paraId="2D8950DF">
            <w:pPr>
              <w:jc w:val="left"/>
              <w:textAlignment w:val="center"/>
              <w:rPr>
                <w:bCs/>
                <w:szCs w:val="20"/>
              </w:rPr>
            </w:pPr>
          </w:p>
        </w:tc>
        <w:tc>
          <w:tcPr>
            <w:tcW w:w="6210" w:type="dxa"/>
            <w:vAlign w:val="center"/>
          </w:tcPr>
          <w:p w14:paraId="0CD90164">
            <w:pPr>
              <w:jc w:val="left"/>
              <w:textAlignment w:val="center"/>
              <w:rPr>
                <w:bCs/>
                <w:szCs w:val="20"/>
              </w:rPr>
            </w:pPr>
            <w:r>
              <w:rPr>
                <w:rFonts w:hint="eastAsia"/>
                <w:bCs/>
                <w:szCs w:val="20"/>
              </w:rPr>
              <w:t>防护等级：整机防护等级 IP65，可适应工业现场使用环境；</w:t>
            </w:r>
          </w:p>
        </w:tc>
      </w:tr>
      <w:tr w14:paraId="2269A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Merge w:val="continue"/>
            <w:vAlign w:val="center"/>
          </w:tcPr>
          <w:p w14:paraId="6DC5B44D">
            <w:pPr>
              <w:jc w:val="left"/>
              <w:textAlignment w:val="center"/>
              <w:rPr>
                <w:bCs/>
                <w:szCs w:val="20"/>
              </w:rPr>
            </w:pPr>
          </w:p>
        </w:tc>
        <w:tc>
          <w:tcPr>
            <w:tcW w:w="1559" w:type="dxa"/>
            <w:vMerge w:val="continue"/>
            <w:vAlign w:val="center"/>
          </w:tcPr>
          <w:p w14:paraId="03344DEE">
            <w:pPr>
              <w:jc w:val="left"/>
              <w:textAlignment w:val="center"/>
              <w:rPr>
                <w:bCs/>
                <w:szCs w:val="20"/>
              </w:rPr>
            </w:pPr>
          </w:p>
        </w:tc>
        <w:tc>
          <w:tcPr>
            <w:tcW w:w="6210" w:type="dxa"/>
            <w:vAlign w:val="center"/>
          </w:tcPr>
          <w:p w14:paraId="7E307BC2">
            <w:pPr>
              <w:jc w:val="left"/>
              <w:textAlignment w:val="center"/>
              <w:rPr>
                <w:bCs/>
                <w:szCs w:val="20"/>
              </w:rPr>
            </w:pPr>
            <w:r>
              <w:rPr>
                <w:rFonts w:hint="eastAsia"/>
                <w:bCs/>
                <w:szCs w:val="20"/>
              </w:rPr>
              <w:t>供电规格：额定输入电压 DC 5V，额定输入电流 2A；</w:t>
            </w:r>
          </w:p>
        </w:tc>
      </w:tr>
      <w:tr w14:paraId="75443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8" w:type="dxa"/>
            <w:vMerge w:val="continue"/>
            <w:vAlign w:val="center"/>
          </w:tcPr>
          <w:p w14:paraId="472937B1">
            <w:pPr>
              <w:jc w:val="left"/>
              <w:textAlignment w:val="center"/>
              <w:rPr>
                <w:bCs/>
                <w:szCs w:val="20"/>
              </w:rPr>
            </w:pPr>
          </w:p>
        </w:tc>
        <w:tc>
          <w:tcPr>
            <w:tcW w:w="1559" w:type="dxa"/>
            <w:vMerge w:val="continue"/>
            <w:vAlign w:val="center"/>
          </w:tcPr>
          <w:p w14:paraId="015307CB">
            <w:pPr>
              <w:jc w:val="left"/>
              <w:textAlignment w:val="center"/>
              <w:rPr>
                <w:bCs/>
                <w:szCs w:val="20"/>
              </w:rPr>
            </w:pPr>
          </w:p>
        </w:tc>
        <w:tc>
          <w:tcPr>
            <w:tcW w:w="6210" w:type="dxa"/>
            <w:vAlign w:val="center"/>
          </w:tcPr>
          <w:p w14:paraId="6AB2C40B">
            <w:pPr>
              <w:jc w:val="left"/>
              <w:textAlignment w:val="center"/>
              <w:rPr>
                <w:bCs/>
                <w:szCs w:val="20"/>
              </w:rPr>
            </w:pPr>
            <w:r>
              <w:rPr>
                <w:rFonts w:hint="eastAsia"/>
                <w:bCs/>
                <w:szCs w:val="20"/>
              </w:rPr>
              <w:t>图像采集：前置 800 万定焦摄像头，后置 1300 万定焦摄像头并配备高亮度 LED 补光灯；</w:t>
            </w:r>
          </w:p>
        </w:tc>
      </w:tr>
      <w:tr w14:paraId="5C03B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8" w:type="dxa"/>
            <w:vMerge w:val="continue"/>
            <w:vAlign w:val="center"/>
          </w:tcPr>
          <w:p w14:paraId="43CBB651">
            <w:pPr>
              <w:jc w:val="left"/>
              <w:textAlignment w:val="center"/>
              <w:rPr>
                <w:bCs/>
                <w:szCs w:val="20"/>
              </w:rPr>
            </w:pPr>
          </w:p>
        </w:tc>
        <w:tc>
          <w:tcPr>
            <w:tcW w:w="1559" w:type="dxa"/>
            <w:vMerge w:val="continue"/>
            <w:vAlign w:val="center"/>
          </w:tcPr>
          <w:p w14:paraId="263CB065">
            <w:pPr>
              <w:jc w:val="left"/>
              <w:textAlignment w:val="center"/>
              <w:rPr>
                <w:bCs/>
                <w:szCs w:val="20"/>
              </w:rPr>
            </w:pPr>
          </w:p>
        </w:tc>
        <w:tc>
          <w:tcPr>
            <w:tcW w:w="6210" w:type="dxa"/>
            <w:vAlign w:val="center"/>
          </w:tcPr>
          <w:p w14:paraId="604A1B4E">
            <w:pPr>
              <w:jc w:val="left"/>
              <w:textAlignment w:val="center"/>
              <w:rPr>
                <w:bCs/>
                <w:szCs w:val="20"/>
              </w:rPr>
            </w:pPr>
            <w:r>
              <w:rPr>
                <w:rFonts w:hint="eastAsia"/>
                <w:bCs/>
                <w:szCs w:val="20"/>
              </w:rPr>
              <w:t>数据采集：支持 UCC/EAN128、RSS、ITF、QR、PDF417 等全主流一维、二维条码识读；集成地磁、加速度、光线传感器；</w:t>
            </w:r>
          </w:p>
        </w:tc>
      </w:tr>
      <w:tr w14:paraId="3FE4F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8" w:type="dxa"/>
            <w:vMerge w:val="continue"/>
            <w:vAlign w:val="center"/>
          </w:tcPr>
          <w:p w14:paraId="7C0C2680">
            <w:pPr>
              <w:jc w:val="left"/>
              <w:textAlignment w:val="center"/>
              <w:rPr>
                <w:bCs/>
                <w:szCs w:val="20"/>
              </w:rPr>
            </w:pPr>
          </w:p>
        </w:tc>
        <w:tc>
          <w:tcPr>
            <w:tcW w:w="1559" w:type="dxa"/>
            <w:vMerge w:val="continue"/>
            <w:vAlign w:val="center"/>
          </w:tcPr>
          <w:p w14:paraId="1AB19851">
            <w:pPr>
              <w:jc w:val="left"/>
              <w:textAlignment w:val="center"/>
              <w:rPr>
                <w:bCs/>
                <w:szCs w:val="20"/>
              </w:rPr>
            </w:pPr>
          </w:p>
        </w:tc>
        <w:tc>
          <w:tcPr>
            <w:tcW w:w="6210" w:type="dxa"/>
            <w:vAlign w:val="center"/>
          </w:tcPr>
          <w:p w14:paraId="15379E4C">
            <w:pPr>
              <w:jc w:val="left"/>
              <w:textAlignment w:val="center"/>
              <w:rPr>
                <w:bCs/>
                <w:szCs w:val="20"/>
              </w:rPr>
            </w:pPr>
            <w:r>
              <w:rPr>
                <w:rFonts w:hint="eastAsia"/>
                <w:bCs/>
                <w:szCs w:val="20"/>
              </w:rPr>
              <w:t>通讯能力：支持 5G/4G/3G/2G 全制式蜂窝网络、2.4G+5G 双频 WiFi（IEEE 802.11 a/b/g/n/ac/ax）、蓝牙 5.0 (BLE)、NFC 功能；</w:t>
            </w:r>
          </w:p>
        </w:tc>
      </w:tr>
      <w:tr w14:paraId="77A62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Merge w:val="continue"/>
            <w:vAlign w:val="center"/>
          </w:tcPr>
          <w:p w14:paraId="57C78C87">
            <w:pPr>
              <w:jc w:val="left"/>
              <w:textAlignment w:val="center"/>
              <w:rPr>
                <w:bCs/>
                <w:szCs w:val="20"/>
              </w:rPr>
            </w:pPr>
          </w:p>
        </w:tc>
        <w:tc>
          <w:tcPr>
            <w:tcW w:w="1559" w:type="dxa"/>
            <w:vMerge w:val="continue"/>
            <w:vAlign w:val="center"/>
          </w:tcPr>
          <w:p w14:paraId="727683C2">
            <w:pPr>
              <w:jc w:val="left"/>
              <w:textAlignment w:val="center"/>
              <w:rPr>
                <w:bCs/>
                <w:szCs w:val="20"/>
              </w:rPr>
            </w:pPr>
          </w:p>
        </w:tc>
        <w:tc>
          <w:tcPr>
            <w:tcW w:w="6210" w:type="dxa"/>
            <w:vAlign w:val="center"/>
          </w:tcPr>
          <w:p w14:paraId="424A5AC6">
            <w:pPr>
              <w:jc w:val="left"/>
              <w:textAlignment w:val="center"/>
              <w:rPr>
                <w:bCs/>
                <w:szCs w:val="20"/>
              </w:rPr>
            </w:pPr>
            <w:r>
              <w:rPr>
                <w:rFonts w:hint="eastAsia"/>
                <w:bCs/>
                <w:szCs w:val="20"/>
              </w:rPr>
              <w:t>内置 GPS + 北斗 + GLONASS 多模定位模块；</w:t>
            </w:r>
          </w:p>
        </w:tc>
      </w:tr>
      <w:tr w14:paraId="5D49F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8" w:type="dxa"/>
            <w:vMerge w:val="continue"/>
            <w:vAlign w:val="center"/>
          </w:tcPr>
          <w:p w14:paraId="00184F21">
            <w:pPr>
              <w:jc w:val="left"/>
              <w:textAlignment w:val="center"/>
              <w:rPr>
                <w:bCs/>
                <w:szCs w:val="20"/>
              </w:rPr>
            </w:pPr>
          </w:p>
        </w:tc>
        <w:tc>
          <w:tcPr>
            <w:tcW w:w="1559" w:type="dxa"/>
            <w:vMerge w:val="continue"/>
            <w:vAlign w:val="center"/>
          </w:tcPr>
          <w:p w14:paraId="6E22F4CE">
            <w:pPr>
              <w:jc w:val="left"/>
              <w:textAlignment w:val="center"/>
              <w:rPr>
                <w:bCs/>
                <w:szCs w:val="20"/>
              </w:rPr>
            </w:pPr>
          </w:p>
        </w:tc>
        <w:tc>
          <w:tcPr>
            <w:tcW w:w="6210" w:type="dxa"/>
            <w:vAlign w:val="center"/>
          </w:tcPr>
          <w:p w14:paraId="287640A8">
            <w:pPr>
              <w:jc w:val="left"/>
              <w:textAlignment w:val="center"/>
              <w:rPr>
                <w:bCs/>
                <w:szCs w:val="20"/>
              </w:rPr>
            </w:pPr>
            <w:r>
              <w:rPr>
                <w:rFonts w:hint="eastAsia"/>
                <w:bCs/>
                <w:szCs w:val="20"/>
              </w:rPr>
              <w:t>接口配置：Type-C 接口，支持 OTG 功能与快充；配备 SIM 卡槽、SD 卡槽、底部座充触点，支持双卡、二代证读取；</w:t>
            </w:r>
          </w:p>
        </w:tc>
      </w:tr>
      <w:tr w14:paraId="13175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8" w:type="dxa"/>
            <w:vMerge w:val="continue"/>
            <w:vAlign w:val="center"/>
          </w:tcPr>
          <w:p w14:paraId="15F2A7A4">
            <w:pPr>
              <w:jc w:val="left"/>
              <w:textAlignment w:val="center"/>
              <w:rPr>
                <w:bCs/>
                <w:szCs w:val="20"/>
              </w:rPr>
            </w:pPr>
          </w:p>
        </w:tc>
        <w:tc>
          <w:tcPr>
            <w:tcW w:w="1559" w:type="dxa"/>
            <w:vMerge w:val="continue"/>
            <w:vAlign w:val="center"/>
          </w:tcPr>
          <w:p w14:paraId="0A236D5E">
            <w:pPr>
              <w:jc w:val="left"/>
              <w:textAlignment w:val="center"/>
              <w:rPr>
                <w:bCs/>
                <w:szCs w:val="20"/>
              </w:rPr>
            </w:pPr>
          </w:p>
        </w:tc>
        <w:tc>
          <w:tcPr>
            <w:tcW w:w="6210" w:type="dxa"/>
            <w:vAlign w:val="center"/>
          </w:tcPr>
          <w:p w14:paraId="19D9CF93">
            <w:pPr>
              <w:jc w:val="left"/>
              <w:textAlignment w:val="center"/>
              <w:rPr>
                <w:bCs/>
                <w:szCs w:val="20"/>
              </w:rPr>
            </w:pPr>
            <w:r>
              <w:rPr>
                <w:rFonts w:hint="eastAsia"/>
                <w:bCs/>
                <w:szCs w:val="20"/>
              </w:rPr>
              <w:t>声光提示：具备声音、震动、LED 多模式消息提醒，内置降噪麦克风；</w:t>
            </w:r>
          </w:p>
        </w:tc>
      </w:tr>
      <w:tr w14:paraId="50359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708" w:type="dxa"/>
            <w:vMerge w:val="continue"/>
            <w:vAlign w:val="center"/>
          </w:tcPr>
          <w:p w14:paraId="7F721400">
            <w:pPr>
              <w:jc w:val="left"/>
              <w:textAlignment w:val="center"/>
              <w:rPr>
                <w:bCs/>
                <w:szCs w:val="20"/>
              </w:rPr>
            </w:pPr>
          </w:p>
        </w:tc>
        <w:tc>
          <w:tcPr>
            <w:tcW w:w="1559" w:type="dxa"/>
            <w:vMerge w:val="continue"/>
            <w:vAlign w:val="center"/>
          </w:tcPr>
          <w:p w14:paraId="59BBC912">
            <w:pPr>
              <w:jc w:val="left"/>
              <w:textAlignment w:val="center"/>
              <w:rPr>
                <w:bCs/>
                <w:szCs w:val="20"/>
              </w:rPr>
            </w:pPr>
          </w:p>
        </w:tc>
        <w:tc>
          <w:tcPr>
            <w:tcW w:w="6210" w:type="dxa"/>
            <w:vAlign w:val="center"/>
          </w:tcPr>
          <w:p w14:paraId="3072A065">
            <w:pPr>
              <w:jc w:val="left"/>
              <w:textAlignment w:val="center"/>
              <w:rPr>
                <w:bCs/>
                <w:szCs w:val="20"/>
              </w:rPr>
            </w:pPr>
            <w:r>
              <w:rPr>
                <w:rFonts w:hint="eastAsia"/>
                <w:bCs/>
                <w:szCs w:val="20"/>
              </w:rPr>
              <w:t>适用场景：工业流水线数据采集、资产盘点、现场巡检、物料核对等作业场景。</w:t>
            </w:r>
          </w:p>
        </w:tc>
      </w:tr>
      <w:tr w14:paraId="5DF86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8" w:type="dxa"/>
            <w:vMerge w:val="continue"/>
            <w:vAlign w:val="center"/>
          </w:tcPr>
          <w:p w14:paraId="70117E66">
            <w:pPr>
              <w:jc w:val="left"/>
              <w:textAlignment w:val="center"/>
              <w:rPr>
                <w:bCs/>
                <w:szCs w:val="20"/>
              </w:rPr>
            </w:pPr>
          </w:p>
        </w:tc>
        <w:tc>
          <w:tcPr>
            <w:tcW w:w="1559" w:type="dxa"/>
            <w:vMerge w:val="continue"/>
            <w:vAlign w:val="center"/>
          </w:tcPr>
          <w:p w14:paraId="4BA614BB">
            <w:pPr>
              <w:jc w:val="left"/>
              <w:textAlignment w:val="center"/>
              <w:rPr>
                <w:bCs/>
                <w:szCs w:val="20"/>
              </w:rPr>
            </w:pPr>
          </w:p>
        </w:tc>
        <w:tc>
          <w:tcPr>
            <w:tcW w:w="6210" w:type="dxa"/>
            <w:vAlign w:val="center"/>
          </w:tcPr>
          <w:p w14:paraId="2F42D914">
            <w:pPr>
              <w:jc w:val="left"/>
              <w:textAlignment w:val="center"/>
              <w:rPr>
                <w:bCs/>
                <w:szCs w:val="20"/>
              </w:rPr>
            </w:pPr>
            <w:r>
              <w:rPr>
                <w:rFonts w:hint="eastAsia"/>
                <w:bCs/>
                <w:szCs w:val="20"/>
              </w:rPr>
              <w:t>结构与可靠性：人体工学手持设计，配备专用扫描手柄，支持工业跌落防护、静电防护（ESD）；</w:t>
            </w:r>
          </w:p>
        </w:tc>
      </w:tr>
      <w:tr w14:paraId="160EE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708" w:type="dxa"/>
            <w:vMerge w:val="restart"/>
            <w:vAlign w:val="center"/>
          </w:tcPr>
          <w:p w14:paraId="61173F9F">
            <w:pPr>
              <w:widowControl/>
              <w:spacing w:line="400" w:lineRule="exact"/>
              <w:jc w:val="center"/>
              <w:rPr>
                <w:rFonts w:hint="eastAsia" w:ascii="宋体" w:hAnsi="宋体" w:cs="Helvetica"/>
                <w:sz w:val="24"/>
              </w:rPr>
            </w:pPr>
            <w:r>
              <w:rPr>
                <w:rFonts w:hint="eastAsia" w:ascii="宋体" w:hAnsi="宋体" w:cs="Helvetica"/>
                <w:sz w:val="24"/>
              </w:rPr>
              <w:t>4</w:t>
            </w:r>
          </w:p>
        </w:tc>
        <w:tc>
          <w:tcPr>
            <w:tcW w:w="1559" w:type="dxa"/>
            <w:vMerge w:val="restart"/>
            <w:vAlign w:val="center"/>
          </w:tcPr>
          <w:p w14:paraId="00AA8395">
            <w:pPr>
              <w:spacing w:line="400" w:lineRule="exact"/>
              <w:jc w:val="center"/>
              <w:rPr>
                <w:rFonts w:hint="eastAsia" w:ascii="宋体" w:hAnsi="宋体" w:cs="宋体"/>
                <w:color w:val="000000"/>
                <w:kern w:val="0"/>
                <w:sz w:val="22"/>
                <w:szCs w:val="22"/>
              </w:rPr>
            </w:pPr>
            <w:r>
              <w:rPr>
                <w:rFonts w:hint="eastAsia" w:ascii="宋体" w:hAnsi="宋体" w:cs="宋体"/>
                <w:color w:val="000000"/>
                <w:kern w:val="0"/>
                <w:sz w:val="22"/>
                <w:szCs w:val="22"/>
              </w:rPr>
              <w:t>工业三防平板</w:t>
            </w:r>
          </w:p>
        </w:tc>
        <w:tc>
          <w:tcPr>
            <w:tcW w:w="6210" w:type="dxa"/>
            <w:vAlign w:val="center"/>
          </w:tcPr>
          <w:p w14:paraId="5DE7D600">
            <w:pPr>
              <w:jc w:val="left"/>
              <w:textAlignment w:val="center"/>
              <w:rPr>
                <w:bCs/>
                <w:szCs w:val="20"/>
              </w:rPr>
            </w:pPr>
            <w:r>
              <w:rPr>
                <w:rFonts w:hint="eastAsia"/>
                <w:bCs/>
                <w:szCs w:val="20"/>
              </w:rPr>
              <w:t>平板终端，数量：2个，要求使用国产平台，支持国产信创的厂商，如瑞星微等，支持OpenHarmony3.2 及以上版本，10.1英寸高清显示屏，1920x1200 FHD；</w:t>
            </w:r>
          </w:p>
        </w:tc>
      </w:tr>
      <w:tr w14:paraId="2286F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Merge w:val="continue"/>
            <w:vAlign w:val="center"/>
          </w:tcPr>
          <w:p w14:paraId="4CF4E99C">
            <w:pPr>
              <w:jc w:val="left"/>
              <w:textAlignment w:val="center"/>
            </w:pPr>
          </w:p>
        </w:tc>
        <w:tc>
          <w:tcPr>
            <w:tcW w:w="1559" w:type="dxa"/>
            <w:vMerge w:val="continue"/>
            <w:vAlign w:val="center"/>
          </w:tcPr>
          <w:p w14:paraId="2A51E27F">
            <w:pPr>
              <w:jc w:val="left"/>
              <w:textAlignment w:val="center"/>
            </w:pPr>
          </w:p>
        </w:tc>
        <w:tc>
          <w:tcPr>
            <w:tcW w:w="6210" w:type="dxa"/>
            <w:vAlign w:val="center"/>
          </w:tcPr>
          <w:p w14:paraId="33692BAC">
            <w:pPr>
              <w:jc w:val="left"/>
              <w:textAlignment w:val="center"/>
              <w:rPr>
                <w:bCs/>
                <w:szCs w:val="20"/>
              </w:rPr>
            </w:pPr>
            <w:r>
              <w:rPr>
                <w:rFonts w:hint="eastAsia"/>
                <w:bCs/>
                <w:szCs w:val="20"/>
              </w:rPr>
              <w:t>电容屏，支持多点触摸，最多可支持10点触摸，支持2.4G+5G WiFi，支持蓝牙5.0协议，支持重力传感、光线传感、距离传感；</w:t>
            </w:r>
          </w:p>
        </w:tc>
      </w:tr>
      <w:tr w14:paraId="3B688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08" w:type="dxa"/>
            <w:vAlign w:val="center"/>
          </w:tcPr>
          <w:p w14:paraId="4AECF410">
            <w:pPr>
              <w:widowControl/>
              <w:spacing w:line="400" w:lineRule="exact"/>
              <w:jc w:val="center"/>
              <w:rPr>
                <w:rFonts w:hint="eastAsia" w:ascii="宋体" w:hAnsi="宋体" w:cs="Helvetica"/>
                <w:sz w:val="24"/>
              </w:rPr>
            </w:pPr>
            <w:r>
              <w:rPr>
                <w:rFonts w:hint="eastAsia" w:ascii="宋体" w:hAnsi="宋体" w:cs="Helvetica"/>
                <w:sz w:val="24"/>
              </w:rPr>
              <w:t>5</w:t>
            </w:r>
          </w:p>
        </w:tc>
        <w:tc>
          <w:tcPr>
            <w:tcW w:w="1559" w:type="dxa"/>
            <w:vAlign w:val="center"/>
          </w:tcPr>
          <w:p w14:paraId="4132F6ED">
            <w:pPr>
              <w:spacing w:line="400" w:lineRule="exact"/>
              <w:jc w:val="center"/>
              <w:rPr>
                <w:rFonts w:hint="eastAsia" w:ascii="宋体" w:hAnsi="宋体" w:cs="宋体"/>
                <w:color w:val="000000"/>
                <w:kern w:val="0"/>
                <w:sz w:val="22"/>
                <w:szCs w:val="22"/>
              </w:rPr>
            </w:pPr>
            <w:r>
              <w:rPr>
                <w:rFonts w:hint="eastAsia" w:ascii="宋体" w:hAnsi="宋体" w:cs="宋体"/>
                <w:color w:val="000000"/>
                <w:kern w:val="0"/>
                <w:sz w:val="22"/>
                <w:szCs w:val="22"/>
              </w:rPr>
              <w:t>工业 3588网关</w:t>
            </w:r>
          </w:p>
        </w:tc>
        <w:tc>
          <w:tcPr>
            <w:tcW w:w="6210" w:type="dxa"/>
            <w:vAlign w:val="center"/>
          </w:tcPr>
          <w:p w14:paraId="3FE0774C">
            <w:pPr>
              <w:jc w:val="left"/>
              <w:textAlignment w:val="center"/>
              <w:rPr>
                <w:bCs/>
                <w:szCs w:val="20"/>
              </w:rPr>
            </w:pPr>
            <w:r>
              <w:rPr>
                <w:rFonts w:hint="eastAsia"/>
                <w:bCs/>
                <w:szCs w:val="20"/>
              </w:rPr>
              <w:t>边缘计算网关，1套。主控芯片 RK3588；预装鸿蒙操作系统；AI 算力 6 Tops；硬件配置 4GB 运行内存 + 64GB 机身存储；额定工作电压 DC12V。</w:t>
            </w:r>
          </w:p>
        </w:tc>
      </w:tr>
      <w:tr w14:paraId="673FC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Merge w:val="restart"/>
            <w:vAlign w:val="center"/>
          </w:tcPr>
          <w:p w14:paraId="30577C47">
            <w:pPr>
              <w:widowControl/>
              <w:spacing w:line="400" w:lineRule="exact"/>
              <w:jc w:val="center"/>
              <w:rPr>
                <w:rFonts w:hint="eastAsia" w:ascii="宋体" w:hAnsi="宋体" w:cs="Helvetica"/>
                <w:sz w:val="24"/>
              </w:rPr>
            </w:pPr>
            <w:r>
              <w:rPr>
                <w:rFonts w:hint="eastAsia" w:ascii="宋体" w:hAnsi="宋体" w:cs="Helvetica"/>
                <w:sz w:val="24"/>
              </w:rPr>
              <w:t>6</w:t>
            </w:r>
          </w:p>
        </w:tc>
        <w:tc>
          <w:tcPr>
            <w:tcW w:w="1559" w:type="dxa"/>
            <w:vMerge w:val="restart"/>
            <w:vAlign w:val="center"/>
          </w:tcPr>
          <w:p w14:paraId="3A5381A4">
            <w:pPr>
              <w:spacing w:line="400" w:lineRule="exact"/>
              <w:jc w:val="center"/>
              <w:rPr>
                <w:rFonts w:hint="eastAsia" w:ascii="宋体" w:hAnsi="宋体" w:cs="宋体"/>
                <w:color w:val="000000"/>
                <w:kern w:val="0"/>
                <w:sz w:val="22"/>
                <w:szCs w:val="22"/>
              </w:rPr>
            </w:pPr>
            <w:r>
              <w:rPr>
                <w:rFonts w:hint="eastAsia" w:ascii="宋体" w:hAnsi="宋体" w:cs="宋体"/>
                <w:color w:val="000000"/>
                <w:kern w:val="0"/>
                <w:sz w:val="22"/>
                <w:szCs w:val="22"/>
              </w:rPr>
              <w:t>国产PLC 控制柜</w:t>
            </w:r>
          </w:p>
        </w:tc>
        <w:tc>
          <w:tcPr>
            <w:tcW w:w="6210" w:type="dxa"/>
            <w:vAlign w:val="center"/>
          </w:tcPr>
          <w:p w14:paraId="31A42882">
            <w:pPr>
              <w:widowControl/>
              <w:jc w:val="left"/>
              <w:rPr>
                <w:bCs/>
                <w:szCs w:val="20"/>
              </w:rPr>
            </w:pPr>
            <w:r>
              <w:rPr>
                <w:rFonts w:hint="eastAsia" w:ascii="宋体" w:hAnsi="宋体" w:cs="宋体"/>
                <w:color w:val="000000"/>
                <w:kern w:val="0"/>
                <w:sz w:val="22"/>
                <w:szCs w:val="22"/>
              </w:rPr>
              <w:t>电源：AC 220V（85~264V 宽电压），内置防反接保护;</w:t>
            </w:r>
          </w:p>
        </w:tc>
      </w:tr>
      <w:tr w14:paraId="13852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08" w:type="dxa"/>
            <w:vMerge w:val="continue"/>
            <w:vAlign w:val="center"/>
          </w:tcPr>
          <w:p w14:paraId="5CC5D553">
            <w:pPr>
              <w:widowControl/>
              <w:jc w:val="left"/>
            </w:pPr>
          </w:p>
        </w:tc>
        <w:tc>
          <w:tcPr>
            <w:tcW w:w="1559" w:type="dxa"/>
            <w:vMerge w:val="continue"/>
            <w:vAlign w:val="center"/>
          </w:tcPr>
          <w:p w14:paraId="6A43E4C8">
            <w:pPr>
              <w:widowControl/>
              <w:jc w:val="left"/>
            </w:pPr>
          </w:p>
        </w:tc>
        <w:tc>
          <w:tcPr>
            <w:tcW w:w="6210" w:type="dxa"/>
            <w:vAlign w:val="center"/>
          </w:tcPr>
          <w:p w14:paraId="4528B006">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数字量输入/输出：14点数字量输入（DC 20~28V，NPN/PNP 通用） + 10点继电器输出（2A /点）；</w:t>
            </w:r>
          </w:p>
        </w:tc>
      </w:tr>
      <w:tr w14:paraId="5396F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08" w:type="dxa"/>
            <w:vMerge w:val="continue"/>
            <w:vAlign w:val="center"/>
          </w:tcPr>
          <w:p w14:paraId="7B21D7B9">
            <w:pPr>
              <w:widowControl/>
              <w:jc w:val="left"/>
              <w:rPr>
                <w:rFonts w:hint="eastAsia" w:ascii="宋体" w:hAnsi="宋体" w:cs="宋体"/>
                <w:color w:val="000000"/>
                <w:kern w:val="0"/>
                <w:sz w:val="22"/>
                <w:szCs w:val="22"/>
              </w:rPr>
            </w:pPr>
          </w:p>
        </w:tc>
        <w:tc>
          <w:tcPr>
            <w:tcW w:w="1559" w:type="dxa"/>
            <w:vMerge w:val="continue"/>
            <w:vAlign w:val="center"/>
          </w:tcPr>
          <w:p w14:paraId="5ED5649E">
            <w:pPr>
              <w:widowControl/>
              <w:jc w:val="left"/>
              <w:rPr>
                <w:rFonts w:hint="eastAsia" w:ascii="宋体" w:hAnsi="宋体" w:cs="宋体"/>
                <w:color w:val="000000"/>
                <w:kern w:val="0"/>
                <w:sz w:val="22"/>
                <w:szCs w:val="22"/>
              </w:rPr>
            </w:pPr>
          </w:p>
        </w:tc>
        <w:tc>
          <w:tcPr>
            <w:tcW w:w="6210" w:type="dxa"/>
            <w:vAlign w:val="center"/>
          </w:tcPr>
          <w:p w14:paraId="5C4968EB">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模拟量输入 / 输出： 2 路输入（0-10V/0-20mA，12 位精度） + 1 路输出（电压/电流可调）；</w:t>
            </w:r>
          </w:p>
        </w:tc>
      </w:tr>
      <w:tr w14:paraId="1E39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08" w:type="dxa"/>
            <w:vMerge w:val="continue"/>
            <w:vAlign w:val="center"/>
          </w:tcPr>
          <w:p w14:paraId="5D129D5B">
            <w:pPr>
              <w:widowControl/>
              <w:jc w:val="left"/>
              <w:rPr>
                <w:rFonts w:hint="eastAsia" w:ascii="宋体" w:hAnsi="宋体" w:cs="宋体"/>
                <w:color w:val="000000"/>
                <w:kern w:val="0"/>
                <w:sz w:val="22"/>
                <w:szCs w:val="22"/>
              </w:rPr>
            </w:pPr>
          </w:p>
        </w:tc>
        <w:tc>
          <w:tcPr>
            <w:tcW w:w="1559" w:type="dxa"/>
            <w:vMerge w:val="continue"/>
            <w:vAlign w:val="center"/>
          </w:tcPr>
          <w:p w14:paraId="5D89CB49">
            <w:pPr>
              <w:widowControl/>
              <w:jc w:val="left"/>
              <w:rPr>
                <w:rFonts w:hint="eastAsia" w:ascii="宋体" w:hAnsi="宋体" w:cs="宋体"/>
                <w:color w:val="000000"/>
                <w:kern w:val="0"/>
                <w:sz w:val="22"/>
                <w:szCs w:val="22"/>
              </w:rPr>
            </w:pPr>
          </w:p>
        </w:tc>
        <w:tc>
          <w:tcPr>
            <w:tcW w:w="6210" w:type="dxa"/>
            <w:vAlign w:val="center"/>
          </w:tcPr>
          <w:p w14:paraId="46993122">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通讯：2×RS485（支持MODBUS RTU、PPI、USS协议）；1 ×RJ45，通讯速率10/100Mbps，支持MODBUS TCP、S7、自由通信 ；</w:t>
            </w:r>
          </w:p>
        </w:tc>
      </w:tr>
      <w:tr w14:paraId="7F18C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Merge w:val="continue"/>
            <w:vAlign w:val="center"/>
          </w:tcPr>
          <w:p w14:paraId="3349B32E">
            <w:pPr>
              <w:widowControl/>
              <w:jc w:val="left"/>
              <w:rPr>
                <w:rFonts w:hint="eastAsia" w:ascii="宋体" w:hAnsi="宋体" w:cs="宋体"/>
                <w:color w:val="000000"/>
                <w:kern w:val="0"/>
                <w:sz w:val="22"/>
                <w:szCs w:val="22"/>
              </w:rPr>
            </w:pPr>
          </w:p>
        </w:tc>
        <w:tc>
          <w:tcPr>
            <w:tcW w:w="1559" w:type="dxa"/>
            <w:vMerge w:val="continue"/>
            <w:vAlign w:val="center"/>
          </w:tcPr>
          <w:p w14:paraId="3F92E2EF">
            <w:pPr>
              <w:widowControl/>
              <w:jc w:val="left"/>
              <w:rPr>
                <w:rFonts w:hint="eastAsia" w:ascii="宋体" w:hAnsi="宋体" w:cs="宋体"/>
                <w:color w:val="000000"/>
                <w:kern w:val="0"/>
                <w:sz w:val="22"/>
                <w:szCs w:val="22"/>
              </w:rPr>
            </w:pPr>
          </w:p>
        </w:tc>
        <w:tc>
          <w:tcPr>
            <w:tcW w:w="6210" w:type="dxa"/>
            <w:vAlign w:val="center"/>
          </w:tcPr>
          <w:p w14:paraId="654D14EF">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安装方式：35-40mm DIN 导轨；</w:t>
            </w:r>
          </w:p>
        </w:tc>
      </w:tr>
      <w:tr w14:paraId="28E7C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Merge w:val="continue"/>
            <w:vAlign w:val="center"/>
          </w:tcPr>
          <w:p w14:paraId="7C095913">
            <w:pPr>
              <w:widowControl/>
              <w:jc w:val="left"/>
              <w:rPr>
                <w:rFonts w:hint="eastAsia" w:ascii="宋体" w:hAnsi="宋体" w:cs="宋体"/>
                <w:color w:val="000000"/>
                <w:kern w:val="0"/>
                <w:sz w:val="22"/>
                <w:szCs w:val="22"/>
              </w:rPr>
            </w:pPr>
          </w:p>
        </w:tc>
        <w:tc>
          <w:tcPr>
            <w:tcW w:w="1559" w:type="dxa"/>
            <w:vMerge w:val="continue"/>
            <w:vAlign w:val="center"/>
          </w:tcPr>
          <w:p w14:paraId="171F7E90">
            <w:pPr>
              <w:widowControl/>
              <w:jc w:val="left"/>
              <w:rPr>
                <w:rFonts w:hint="eastAsia" w:ascii="宋体" w:hAnsi="宋体" w:cs="宋体"/>
                <w:color w:val="000000"/>
                <w:kern w:val="0"/>
                <w:sz w:val="22"/>
                <w:szCs w:val="22"/>
              </w:rPr>
            </w:pPr>
          </w:p>
        </w:tc>
        <w:tc>
          <w:tcPr>
            <w:tcW w:w="6210" w:type="dxa"/>
            <w:shd w:val="clear" w:color="auto" w:fill="auto"/>
            <w:vAlign w:val="center"/>
          </w:tcPr>
          <w:p w14:paraId="25716CAD">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HMI屏：不小于7寸HMI，本机HMI 直接连接的PLC；</w:t>
            </w:r>
          </w:p>
        </w:tc>
      </w:tr>
      <w:tr w14:paraId="432CB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Merge w:val="continue"/>
            <w:vAlign w:val="center"/>
          </w:tcPr>
          <w:p w14:paraId="495D39B5">
            <w:pPr>
              <w:widowControl/>
              <w:jc w:val="left"/>
              <w:rPr>
                <w:rFonts w:hint="eastAsia" w:ascii="宋体" w:hAnsi="宋体" w:cs="宋体"/>
                <w:color w:val="000000"/>
                <w:kern w:val="0"/>
                <w:sz w:val="22"/>
                <w:szCs w:val="22"/>
              </w:rPr>
            </w:pPr>
          </w:p>
        </w:tc>
        <w:tc>
          <w:tcPr>
            <w:tcW w:w="1559" w:type="dxa"/>
            <w:vMerge w:val="continue"/>
            <w:vAlign w:val="center"/>
          </w:tcPr>
          <w:p w14:paraId="78862190">
            <w:pPr>
              <w:widowControl/>
              <w:jc w:val="left"/>
              <w:rPr>
                <w:rFonts w:hint="eastAsia" w:ascii="宋体" w:hAnsi="宋体" w:cs="宋体"/>
                <w:color w:val="000000"/>
                <w:kern w:val="0"/>
                <w:sz w:val="22"/>
                <w:szCs w:val="22"/>
              </w:rPr>
            </w:pPr>
          </w:p>
        </w:tc>
        <w:tc>
          <w:tcPr>
            <w:tcW w:w="6210" w:type="dxa"/>
            <w:vAlign w:val="center"/>
          </w:tcPr>
          <w:p w14:paraId="7BF8F62F">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配备4个按钮开关，1个急停开关，1个旋钮开关；</w:t>
            </w:r>
          </w:p>
        </w:tc>
      </w:tr>
      <w:tr w14:paraId="09600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08" w:type="dxa"/>
            <w:vMerge w:val="continue"/>
            <w:vAlign w:val="center"/>
          </w:tcPr>
          <w:p w14:paraId="25FFE7FF">
            <w:pPr>
              <w:widowControl/>
              <w:jc w:val="left"/>
              <w:rPr>
                <w:rFonts w:hint="eastAsia" w:ascii="宋体" w:hAnsi="宋体" w:cs="宋体"/>
                <w:color w:val="000000"/>
                <w:kern w:val="0"/>
                <w:sz w:val="22"/>
                <w:szCs w:val="22"/>
              </w:rPr>
            </w:pPr>
          </w:p>
        </w:tc>
        <w:tc>
          <w:tcPr>
            <w:tcW w:w="1559" w:type="dxa"/>
            <w:vMerge w:val="continue"/>
            <w:vAlign w:val="center"/>
          </w:tcPr>
          <w:p w14:paraId="4821C561">
            <w:pPr>
              <w:widowControl/>
              <w:jc w:val="left"/>
              <w:rPr>
                <w:rFonts w:hint="eastAsia" w:ascii="宋体" w:hAnsi="宋体" w:cs="宋体"/>
                <w:color w:val="000000"/>
                <w:kern w:val="0"/>
                <w:sz w:val="22"/>
                <w:szCs w:val="22"/>
              </w:rPr>
            </w:pPr>
          </w:p>
        </w:tc>
        <w:tc>
          <w:tcPr>
            <w:tcW w:w="6210" w:type="dxa"/>
            <w:vAlign w:val="center"/>
          </w:tcPr>
          <w:p w14:paraId="40030657">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支持按钮开关用于手动发送控制信号，并将输入信号传送到PLC的输入端子，以实现系统的启动和停止等功能；</w:t>
            </w:r>
          </w:p>
        </w:tc>
      </w:tr>
      <w:tr w14:paraId="2AFA5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Merge w:val="continue"/>
            <w:vAlign w:val="center"/>
          </w:tcPr>
          <w:p w14:paraId="654216D3">
            <w:pPr>
              <w:widowControl/>
              <w:jc w:val="left"/>
              <w:rPr>
                <w:rFonts w:hint="eastAsia" w:ascii="宋体" w:hAnsi="宋体" w:cs="宋体"/>
                <w:color w:val="000000"/>
                <w:kern w:val="0"/>
                <w:sz w:val="22"/>
                <w:szCs w:val="22"/>
              </w:rPr>
            </w:pPr>
          </w:p>
        </w:tc>
        <w:tc>
          <w:tcPr>
            <w:tcW w:w="1559" w:type="dxa"/>
            <w:vMerge w:val="continue"/>
            <w:vAlign w:val="center"/>
          </w:tcPr>
          <w:p w14:paraId="7A5BC676">
            <w:pPr>
              <w:widowControl/>
              <w:jc w:val="left"/>
              <w:rPr>
                <w:rFonts w:hint="eastAsia" w:ascii="宋体" w:hAnsi="宋体" w:cs="宋体"/>
                <w:color w:val="000000"/>
                <w:kern w:val="0"/>
                <w:sz w:val="22"/>
                <w:szCs w:val="22"/>
              </w:rPr>
            </w:pPr>
          </w:p>
        </w:tc>
        <w:tc>
          <w:tcPr>
            <w:tcW w:w="6210" w:type="dxa"/>
            <w:vAlign w:val="center"/>
          </w:tcPr>
          <w:p w14:paraId="419C8252">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支持旋钮开关用于手动/自动、本地/远程等模式的切换和选择；</w:t>
            </w:r>
          </w:p>
        </w:tc>
      </w:tr>
      <w:tr w14:paraId="1389C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Merge w:val="continue"/>
            <w:vAlign w:val="center"/>
          </w:tcPr>
          <w:p w14:paraId="7DE133D5">
            <w:pPr>
              <w:widowControl/>
              <w:jc w:val="left"/>
              <w:rPr>
                <w:rFonts w:hint="eastAsia" w:ascii="宋体" w:hAnsi="宋体" w:cs="宋体"/>
                <w:color w:val="000000"/>
                <w:kern w:val="0"/>
                <w:sz w:val="22"/>
                <w:szCs w:val="22"/>
              </w:rPr>
            </w:pPr>
          </w:p>
        </w:tc>
        <w:tc>
          <w:tcPr>
            <w:tcW w:w="1559" w:type="dxa"/>
            <w:vMerge w:val="continue"/>
            <w:vAlign w:val="center"/>
          </w:tcPr>
          <w:p w14:paraId="2C875908">
            <w:pPr>
              <w:widowControl/>
              <w:jc w:val="left"/>
              <w:rPr>
                <w:rFonts w:hint="eastAsia" w:ascii="宋体" w:hAnsi="宋体" w:cs="宋体"/>
                <w:color w:val="000000"/>
                <w:kern w:val="0"/>
                <w:sz w:val="22"/>
                <w:szCs w:val="22"/>
              </w:rPr>
            </w:pPr>
          </w:p>
        </w:tc>
        <w:tc>
          <w:tcPr>
            <w:tcW w:w="6210" w:type="dxa"/>
            <w:vAlign w:val="center"/>
          </w:tcPr>
          <w:p w14:paraId="57D0457C">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支持急停开关用于立即快速停止整个设备。</w:t>
            </w:r>
          </w:p>
        </w:tc>
      </w:tr>
      <w:tr w14:paraId="1219C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08" w:type="dxa"/>
            <w:vMerge w:val="continue"/>
            <w:vAlign w:val="center"/>
          </w:tcPr>
          <w:p w14:paraId="072C3F89">
            <w:pPr>
              <w:widowControl/>
              <w:jc w:val="left"/>
              <w:rPr>
                <w:rFonts w:hint="eastAsia" w:ascii="宋体" w:hAnsi="宋体" w:cs="宋体"/>
                <w:color w:val="000000"/>
                <w:kern w:val="0"/>
                <w:sz w:val="22"/>
                <w:szCs w:val="22"/>
              </w:rPr>
            </w:pPr>
          </w:p>
        </w:tc>
        <w:tc>
          <w:tcPr>
            <w:tcW w:w="1559" w:type="dxa"/>
            <w:vMerge w:val="continue"/>
            <w:vAlign w:val="center"/>
          </w:tcPr>
          <w:p w14:paraId="3FF746A1">
            <w:pPr>
              <w:widowControl/>
              <w:jc w:val="left"/>
              <w:rPr>
                <w:rFonts w:hint="eastAsia" w:ascii="宋体" w:hAnsi="宋体" w:cs="宋体"/>
                <w:color w:val="000000"/>
                <w:kern w:val="0"/>
                <w:sz w:val="22"/>
                <w:szCs w:val="22"/>
              </w:rPr>
            </w:pPr>
          </w:p>
        </w:tc>
        <w:tc>
          <w:tcPr>
            <w:tcW w:w="6210" w:type="dxa"/>
            <w:vAlign w:val="center"/>
          </w:tcPr>
          <w:p w14:paraId="18694DD1">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PLC控制程序：PLC程序可以控制10路IO量的输出，10路IO量的输入；</w:t>
            </w:r>
          </w:p>
        </w:tc>
      </w:tr>
      <w:tr w14:paraId="53CC0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08" w:type="dxa"/>
            <w:vMerge w:val="continue"/>
            <w:vAlign w:val="center"/>
          </w:tcPr>
          <w:p w14:paraId="0293556C">
            <w:pPr>
              <w:widowControl/>
              <w:jc w:val="left"/>
              <w:rPr>
                <w:rFonts w:hint="eastAsia" w:ascii="宋体" w:hAnsi="宋体" w:cs="宋体"/>
                <w:color w:val="000000"/>
                <w:kern w:val="0"/>
                <w:sz w:val="22"/>
                <w:szCs w:val="22"/>
              </w:rPr>
            </w:pPr>
          </w:p>
        </w:tc>
        <w:tc>
          <w:tcPr>
            <w:tcW w:w="1559" w:type="dxa"/>
            <w:vMerge w:val="continue"/>
            <w:vAlign w:val="center"/>
          </w:tcPr>
          <w:p w14:paraId="7F1B0FCD">
            <w:pPr>
              <w:widowControl/>
              <w:jc w:val="left"/>
              <w:rPr>
                <w:rFonts w:hint="eastAsia" w:ascii="宋体" w:hAnsi="宋体" w:cs="宋体"/>
                <w:color w:val="000000"/>
                <w:kern w:val="0"/>
                <w:sz w:val="22"/>
                <w:szCs w:val="22"/>
              </w:rPr>
            </w:pPr>
          </w:p>
        </w:tc>
        <w:tc>
          <w:tcPr>
            <w:tcW w:w="6210" w:type="dxa"/>
            <w:vAlign w:val="center"/>
          </w:tcPr>
          <w:p w14:paraId="317426FB">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开启MODBUS服务器，可以使用远程MODBUS客户端对10路IO的输出和10路IO量的输入监控；</w:t>
            </w:r>
          </w:p>
        </w:tc>
      </w:tr>
      <w:tr w14:paraId="64C6A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Merge w:val="continue"/>
            <w:vAlign w:val="center"/>
          </w:tcPr>
          <w:p w14:paraId="57814E53">
            <w:pPr>
              <w:widowControl/>
              <w:jc w:val="left"/>
              <w:rPr>
                <w:rFonts w:hint="eastAsia" w:ascii="宋体" w:hAnsi="宋体" w:cs="宋体"/>
                <w:color w:val="000000"/>
                <w:kern w:val="0"/>
                <w:sz w:val="22"/>
                <w:szCs w:val="22"/>
              </w:rPr>
            </w:pPr>
          </w:p>
        </w:tc>
        <w:tc>
          <w:tcPr>
            <w:tcW w:w="1559" w:type="dxa"/>
            <w:vMerge w:val="continue"/>
            <w:vAlign w:val="center"/>
          </w:tcPr>
          <w:p w14:paraId="614FBE0A">
            <w:pPr>
              <w:widowControl/>
              <w:jc w:val="left"/>
              <w:rPr>
                <w:rFonts w:hint="eastAsia" w:ascii="宋体" w:hAnsi="宋体" w:cs="宋体"/>
                <w:color w:val="000000"/>
                <w:kern w:val="0"/>
                <w:sz w:val="22"/>
                <w:szCs w:val="22"/>
              </w:rPr>
            </w:pPr>
          </w:p>
        </w:tc>
        <w:tc>
          <w:tcPr>
            <w:tcW w:w="6210" w:type="dxa"/>
            <w:vAlign w:val="center"/>
          </w:tcPr>
          <w:p w14:paraId="240B30AA">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可以控制10路IO量的输出；且远程和本地控制IO量不冲突；</w:t>
            </w:r>
          </w:p>
        </w:tc>
      </w:tr>
      <w:tr w14:paraId="6AB39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08" w:type="dxa"/>
            <w:vMerge w:val="continue"/>
            <w:vAlign w:val="center"/>
          </w:tcPr>
          <w:p w14:paraId="179F57DB">
            <w:pPr>
              <w:widowControl/>
              <w:jc w:val="left"/>
              <w:rPr>
                <w:rFonts w:hint="eastAsia" w:ascii="宋体" w:hAnsi="宋体" w:cs="宋体"/>
                <w:color w:val="000000"/>
                <w:kern w:val="0"/>
                <w:sz w:val="22"/>
                <w:szCs w:val="22"/>
              </w:rPr>
            </w:pPr>
          </w:p>
        </w:tc>
        <w:tc>
          <w:tcPr>
            <w:tcW w:w="1559" w:type="dxa"/>
            <w:vMerge w:val="continue"/>
            <w:vAlign w:val="center"/>
          </w:tcPr>
          <w:p w14:paraId="40C29C09">
            <w:pPr>
              <w:widowControl/>
              <w:jc w:val="left"/>
              <w:rPr>
                <w:rFonts w:hint="eastAsia" w:ascii="宋体" w:hAnsi="宋体" w:cs="宋体"/>
                <w:color w:val="000000"/>
                <w:kern w:val="0"/>
                <w:sz w:val="22"/>
                <w:szCs w:val="22"/>
              </w:rPr>
            </w:pPr>
          </w:p>
        </w:tc>
        <w:tc>
          <w:tcPr>
            <w:tcW w:w="6210" w:type="dxa"/>
            <w:vAlign w:val="center"/>
          </w:tcPr>
          <w:p w14:paraId="2D7FF58C">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支持PLC中string类型的多个寄存器通过远程MODBUS客户端的访问可以进行写入和擦除。</w:t>
            </w:r>
          </w:p>
        </w:tc>
      </w:tr>
      <w:tr w14:paraId="01A0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08" w:type="dxa"/>
            <w:vMerge w:val="restart"/>
            <w:vAlign w:val="center"/>
          </w:tcPr>
          <w:p w14:paraId="391D26F6">
            <w:pPr>
              <w:widowControl/>
              <w:spacing w:line="400" w:lineRule="exact"/>
              <w:jc w:val="center"/>
              <w:rPr>
                <w:rFonts w:hint="eastAsia" w:ascii="宋体" w:hAnsi="宋体" w:cs="Helvetica"/>
                <w:sz w:val="24"/>
              </w:rPr>
            </w:pPr>
            <w:r>
              <w:rPr>
                <w:rFonts w:hint="eastAsia" w:ascii="宋体" w:hAnsi="宋体" w:cs="Helvetica"/>
                <w:sz w:val="24"/>
              </w:rPr>
              <w:t>7</w:t>
            </w:r>
          </w:p>
        </w:tc>
        <w:tc>
          <w:tcPr>
            <w:tcW w:w="1559" w:type="dxa"/>
            <w:vMerge w:val="restart"/>
            <w:vAlign w:val="center"/>
          </w:tcPr>
          <w:p w14:paraId="4AB71108">
            <w:pPr>
              <w:spacing w:line="400" w:lineRule="exact"/>
              <w:jc w:val="center"/>
              <w:rPr>
                <w:rFonts w:hint="eastAsia" w:ascii="宋体" w:hAnsi="宋体" w:cs="宋体"/>
                <w:color w:val="000000"/>
                <w:kern w:val="0"/>
                <w:sz w:val="22"/>
                <w:szCs w:val="22"/>
              </w:rPr>
            </w:pPr>
            <w:r>
              <w:rPr>
                <w:rFonts w:hint="eastAsia" w:ascii="宋体" w:hAnsi="宋体" w:cs="宋体"/>
                <w:color w:val="000000"/>
                <w:kern w:val="0"/>
                <w:sz w:val="22"/>
                <w:szCs w:val="22"/>
              </w:rPr>
              <w:t>局域网搭建</w:t>
            </w:r>
          </w:p>
        </w:tc>
        <w:tc>
          <w:tcPr>
            <w:tcW w:w="6210" w:type="dxa"/>
            <w:vAlign w:val="center"/>
          </w:tcPr>
          <w:p w14:paraId="58C14700">
            <w:pPr>
              <w:widowControl/>
              <w:jc w:val="left"/>
              <w:rPr>
                <w:bCs/>
                <w:szCs w:val="20"/>
              </w:rPr>
            </w:pPr>
            <w:r>
              <w:rPr>
                <w:rFonts w:hint="eastAsia"/>
                <w:bCs/>
                <w:szCs w:val="20"/>
              </w:rPr>
              <w:t>4G 无线路由器</w:t>
            </w:r>
          </w:p>
          <w:p w14:paraId="3731F0AB">
            <w:pPr>
              <w:widowControl/>
              <w:jc w:val="left"/>
              <w:rPr>
                <w:bCs/>
                <w:szCs w:val="20"/>
              </w:rPr>
            </w:pPr>
            <w:r>
              <w:rPr>
                <w:rFonts w:hint="eastAsia"/>
                <w:bCs/>
                <w:szCs w:val="20"/>
              </w:rPr>
              <w:t>数量：1 台</w:t>
            </w:r>
          </w:p>
          <w:p w14:paraId="3A758444">
            <w:pPr>
              <w:widowControl/>
              <w:jc w:val="left"/>
              <w:rPr>
                <w:bCs/>
                <w:szCs w:val="20"/>
              </w:rPr>
            </w:pPr>
            <w:r>
              <w:rPr>
                <w:rFonts w:hint="eastAsia"/>
                <w:bCs/>
                <w:szCs w:val="20"/>
              </w:rPr>
              <w:t>支持中国移动、中国联通、中国电信三大运营商 4G 全网通制式，采用 WiFi 4（IEEE 802.11n）无线传输协议，支持 SIM 卡插卡组网，可快速搭建无线局域网。</w:t>
            </w:r>
          </w:p>
        </w:tc>
      </w:tr>
      <w:tr w14:paraId="71851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708" w:type="dxa"/>
            <w:vMerge w:val="continue"/>
            <w:vAlign w:val="center"/>
          </w:tcPr>
          <w:p w14:paraId="3BB2B023">
            <w:pPr>
              <w:widowControl/>
              <w:jc w:val="left"/>
            </w:pPr>
          </w:p>
        </w:tc>
        <w:tc>
          <w:tcPr>
            <w:tcW w:w="1559" w:type="dxa"/>
            <w:vMerge w:val="continue"/>
            <w:vAlign w:val="center"/>
          </w:tcPr>
          <w:p w14:paraId="671AB1A4">
            <w:pPr>
              <w:widowControl/>
              <w:jc w:val="left"/>
            </w:pPr>
          </w:p>
        </w:tc>
        <w:tc>
          <w:tcPr>
            <w:tcW w:w="6210" w:type="dxa"/>
            <w:vAlign w:val="center"/>
          </w:tcPr>
          <w:p w14:paraId="5E0308E4">
            <w:pPr>
              <w:widowControl/>
              <w:jc w:val="left"/>
              <w:rPr>
                <w:bCs/>
                <w:szCs w:val="20"/>
              </w:rPr>
            </w:pPr>
            <w:r>
              <w:rPr>
                <w:rFonts w:hint="eastAsia"/>
                <w:bCs/>
                <w:szCs w:val="20"/>
              </w:rPr>
              <w:t>千兆以太网交换机</w:t>
            </w:r>
          </w:p>
          <w:p w14:paraId="6285E7AC">
            <w:pPr>
              <w:widowControl/>
              <w:jc w:val="left"/>
              <w:rPr>
                <w:bCs/>
                <w:szCs w:val="20"/>
              </w:rPr>
            </w:pPr>
            <w:r>
              <w:rPr>
                <w:rFonts w:hint="eastAsia"/>
                <w:bCs/>
                <w:szCs w:val="20"/>
              </w:rPr>
              <w:t>数量：1 台</w:t>
            </w:r>
          </w:p>
          <w:p w14:paraId="1DF6C17D">
            <w:pPr>
              <w:widowControl/>
              <w:jc w:val="left"/>
              <w:rPr>
                <w:bCs/>
                <w:szCs w:val="20"/>
              </w:rPr>
            </w:pPr>
            <w:r>
              <w:rPr>
                <w:rFonts w:hint="eastAsia"/>
                <w:bCs/>
                <w:szCs w:val="20"/>
              </w:rPr>
              <w:t>配备 8 个千兆 RJ45 电接口，实现局域网内各设备高速数据交换，满足流水线设备网络互联需求。</w:t>
            </w:r>
          </w:p>
        </w:tc>
      </w:tr>
      <w:tr w14:paraId="32576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708" w:type="dxa"/>
            <w:vMerge w:val="continue"/>
            <w:vAlign w:val="center"/>
          </w:tcPr>
          <w:p w14:paraId="05CE9928">
            <w:pPr>
              <w:widowControl/>
              <w:jc w:val="left"/>
              <w:rPr>
                <w:bCs/>
                <w:szCs w:val="20"/>
              </w:rPr>
            </w:pPr>
          </w:p>
        </w:tc>
        <w:tc>
          <w:tcPr>
            <w:tcW w:w="1559" w:type="dxa"/>
            <w:vMerge w:val="continue"/>
            <w:vAlign w:val="center"/>
          </w:tcPr>
          <w:p w14:paraId="02E52BDD">
            <w:pPr>
              <w:widowControl/>
              <w:jc w:val="left"/>
              <w:rPr>
                <w:bCs/>
                <w:szCs w:val="20"/>
              </w:rPr>
            </w:pPr>
          </w:p>
        </w:tc>
        <w:tc>
          <w:tcPr>
            <w:tcW w:w="6210" w:type="dxa"/>
            <w:vAlign w:val="center"/>
          </w:tcPr>
          <w:p w14:paraId="3ADF40BD">
            <w:pPr>
              <w:widowControl/>
              <w:jc w:val="left"/>
              <w:rPr>
                <w:bCs/>
                <w:szCs w:val="20"/>
              </w:rPr>
            </w:pPr>
            <w:r>
              <w:rPr>
                <w:rFonts w:hint="eastAsia"/>
                <w:bCs/>
                <w:szCs w:val="20"/>
              </w:rPr>
              <w:t>五类网线</w:t>
            </w:r>
          </w:p>
          <w:p w14:paraId="017255D2">
            <w:pPr>
              <w:widowControl/>
              <w:jc w:val="left"/>
              <w:rPr>
                <w:bCs/>
                <w:szCs w:val="20"/>
              </w:rPr>
            </w:pPr>
            <w:r>
              <w:rPr>
                <w:rFonts w:hint="eastAsia"/>
                <w:bCs/>
                <w:szCs w:val="20"/>
              </w:rPr>
              <w:t>数量：4 条</w:t>
            </w:r>
          </w:p>
          <w:p w14:paraId="7874777F">
            <w:pPr>
              <w:widowControl/>
              <w:jc w:val="left"/>
              <w:rPr>
                <w:bCs/>
                <w:szCs w:val="20"/>
              </w:rPr>
            </w:pPr>
            <w:r>
              <w:rPr>
                <w:rFonts w:hint="eastAsia"/>
                <w:bCs/>
                <w:szCs w:val="20"/>
              </w:rPr>
              <w:t>采用五类非屏蔽网线，外观为黑色，单条线缆长度 1 米，用于设备间网络连接。</w:t>
            </w:r>
          </w:p>
        </w:tc>
      </w:tr>
      <w:tr w14:paraId="77A29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708" w:type="dxa"/>
            <w:vMerge w:val="continue"/>
            <w:vAlign w:val="center"/>
          </w:tcPr>
          <w:p w14:paraId="27897AE7">
            <w:pPr>
              <w:widowControl/>
              <w:jc w:val="left"/>
              <w:rPr>
                <w:bCs/>
                <w:szCs w:val="20"/>
              </w:rPr>
            </w:pPr>
          </w:p>
        </w:tc>
        <w:tc>
          <w:tcPr>
            <w:tcW w:w="1559" w:type="dxa"/>
            <w:vMerge w:val="continue"/>
            <w:vAlign w:val="center"/>
          </w:tcPr>
          <w:p w14:paraId="2C5DE324">
            <w:pPr>
              <w:widowControl/>
              <w:jc w:val="left"/>
              <w:rPr>
                <w:bCs/>
                <w:szCs w:val="20"/>
              </w:rPr>
            </w:pPr>
          </w:p>
        </w:tc>
        <w:tc>
          <w:tcPr>
            <w:tcW w:w="6210" w:type="dxa"/>
            <w:vAlign w:val="center"/>
          </w:tcPr>
          <w:p w14:paraId="0F2A7EE0">
            <w:pPr>
              <w:widowControl/>
              <w:jc w:val="left"/>
              <w:rPr>
                <w:bCs/>
                <w:szCs w:val="20"/>
              </w:rPr>
            </w:pPr>
            <w:r>
              <w:rPr>
                <w:rFonts w:hint="eastAsia"/>
                <w:bCs/>
                <w:szCs w:val="20"/>
              </w:rPr>
              <w:t>八位总控插线排</w:t>
            </w:r>
          </w:p>
          <w:p w14:paraId="7C38F6DF">
            <w:pPr>
              <w:widowControl/>
              <w:jc w:val="left"/>
              <w:rPr>
                <w:bCs/>
                <w:szCs w:val="20"/>
              </w:rPr>
            </w:pPr>
            <w:r>
              <w:rPr>
                <w:rFonts w:hint="eastAsia"/>
                <w:bCs/>
                <w:szCs w:val="20"/>
              </w:rPr>
              <w:t>数量：2 个</w:t>
            </w:r>
          </w:p>
          <w:p w14:paraId="75F7C0B7">
            <w:pPr>
              <w:widowControl/>
              <w:jc w:val="left"/>
              <w:rPr>
                <w:bCs/>
                <w:szCs w:val="20"/>
              </w:rPr>
            </w:pPr>
            <w:r>
              <w:rPr>
                <w:rFonts w:hint="eastAsia"/>
                <w:bCs/>
                <w:szCs w:val="20"/>
              </w:rPr>
              <w:t>配置 8 位电源插孔，集成总控开关，电源线长度 1.8 米，内置过载保护装置，可有效防范电路过载风险，保障用电安全。</w:t>
            </w:r>
          </w:p>
        </w:tc>
      </w:tr>
      <w:tr w14:paraId="10D68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708" w:type="dxa"/>
            <w:vMerge w:val="restart"/>
            <w:vAlign w:val="center"/>
          </w:tcPr>
          <w:p w14:paraId="5D008854">
            <w:pPr>
              <w:widowControl/>
              <w:spacing w:line="400" w:lineRule="exact"/>
              <w:jc w:val="center"/>
              <w:rPr>
                <w:rFonts w:hint="eastAsia" w:ascii="宋体" w:hAnsi="宋体" w:cs="Helvetica"/>
                <w:sz w:val="24"/>
              </w:rPr>
            </w:pPr>
            <w:r>
              <w:rPr>
                <w:rFonts w:hint="eastAsia" w:ascii="宋体" w:hAnsi="宋体" w:cs="Helvetica"/>
                <w:sz w:val="24"/>
              </w:rPr>
              <w:t>8</w:t>
            </w:r>
          </w:p>
        </w:tc>
        <w:tc>
          <w:tcPr>
            <w:tcW w:w="1559" w:type="dxa"/>
            <w:vMerge w:val="restart"/>
            <w:vAlign w:val="center"/>
          </w:tcPr>
          <w:p w14:paraId="18E475E8">
            <w:pPr>
              <w:spacing w:line="400" w:lineRule="exact"/>
              <w:jc w:val="center"/>
              <w:rPr>
                <w:rFonts w:hint="eastAsia" w:ascii="宋体" w:hAnsi="宋体" w:cs="宋体"/>
                <w:color w:val="000000"/>
                <w:kern w:val="0"/>
                <w:sz w:val="22"/>
                <w:szCs w:val="22"/>
              </w:rPr>
            </w:pPr>
            <w:r>
              <w:rPr>
                <w:rFonts w:hint="eastAsia" w:ascii="宋体" w:hAnsi="宋体" w:cs="宋体"/>
                <w:color w:val="000000"/>
                <w:kern w:val="0"/>
                <w:sz w:val="22"/>
                <w:szCs w:val="22"/>
              </w:rPr>
              <w:t>工业场景软件</w:t>
            </w:r>
          </w:p>
        </w:tc>
        <w:tc>
          <w:tcPr>
            <w:tcW w:w="6210" w:type="dxa"/>
            <w:vAlign w:val="center"/>
          </w:tcPr>
          <w:p w14:paraId="78FE2695">
            <w:pPr>
              <w:widowControl/>
              <w:jc w:val="left"/>
              <w:rPr>
                <w:rFonts w:hint="eastAsia" w:ascii="宋体" w:hAnsi="宋体" w:cs="宋体"/>
                <w:kern w:val="0"/>
                <w:sz w:val="22"/>
                <w:szCs w:val="22"/>
              </w:rPr>
            </w:pPr>
            <w:r>
              <w:rPr>
                <w:rFonts w:hint="eastAsia" w:ascii="宋体" w:hAnsi="宋体" w:cs="宋体"/>
                <w:color w:val="000000"/>
                <w:kern w:val="0"/>
                <w:sz w:val="22"/>
                <w:szCs w:val="22"/>
              </w:rPr>
              <w:t>▲工业数字孪生：将工业生产过程中的各种数据实时映射到虚拟模型中，实现对生产现场的全方位可视化监控。包含生产区、配料区、库房区、集控中心、机房等区域。（</w:t>
            </w:r>
            <w:r>
              <w:rPr>
                <w:rFonts w:hint="eastAsia" w:ascii="宋体" w:hAnsi="宋体" w:cs="宋体"/>
                <w:color w:val="000000"/>
                <w:kern w:val="0"/>
                <w:sz w:val="22"/>
                <w:szCs w:val="22"/>
                <w:highlight w:val="yellow"/>
              </w:rPr>
              <w:t>提供可视化展示系统相关软件著作权证书</w:t>
            </w:r>
            <w:r>
              <w:rPr>
                <w:rFonts w:hint="eastAsia" w:ascii="宋体" w:hAnsi="宋体" w:cs="宋体"/>
                <w:color w:val="000000"/>
                <w:kern w:val="0"/>
                <w:sz w:val="22"/>
                <w:szCs w:val="22"/>
                <w:highlight w:val="yellow"/>
                <w:lang w:eastAsia="zh-CN"/>
              </w:rPr>
              <w:t>复印件</w:t>
            </w:r>
            <w:r>
              <w:rPr>
                <w:rFonts w:hint="eastAsia"/>
                <w:bCs/>
                <w:szCs w:val="20"/>
                <w:highlight w:val="yellow"/>
                <w:lang w:eastAsia="zh-CN"/>
              </w:rPr>
              <w:t>加盖投标人公章</w:t>
            </w:r>
            <w:r>
              <w:rPr>
                <w:rFonts w:hint="eastAsia" w:ascii="宋体" w:hAnsi="宋体" w:cs="宋体"/>
                <w:color w:val="000000"/>
                <w:kern w:val="0"/>
                <w:sz w:val="22"/>
                <w:szCs w:val="22"/>
              </w:rPr>
              <w:t>）</w:t>
            </w:r>
          </w:p>
        </w:tc>
      </w:tr>
      <w:tr w14:paraId="64381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708" w:type="dxa"/>
            <w:vMerge w:val="continue"/>
            <w:vAlign w:val="center"/>
          </w:tcPr>
          <w:p w14:paraId="02C5CE08">
            <w:pPr>
              <w:widowControl/>
              <w:jc w:val="left"/>
            </w:pPr>
          </w:p>
        </w:tc>
        <w:tc>
          <w:tcPr>
            <w:tcW w:w="1559" w:type="dxa"/>
            <w:vMerge w:val="continue"/>
            <w:vAlign w:val="center"/>
          </w:tcPr>
          <w:p w14:paraId="7D2C6ADE">
            <w:pPr>
              <w:widowControl/>
              <w:jc w:val="left"/>
            </w:pPr>
          </w:p>
        </w:tc>
        <w:tc>
          <w:tcPr>
            <w:tcW w:w="6210" w:type="dxa"/>
            <w:vAlign w:val="center"/>
          </w:tcPr>
          <w:p w14:paraId="4DB98DCB">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工业场景 APP</w:t>
            </w:r>
          </w:p>
          <w:p w14:paraId="0F5C905E">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访客系统：利用平板的蓝牙和定制工业互联神经总线能力，以及定制开源鸿蒙应用进行结合，完成对访客入场的登记。</w:t>
            </w:r>
          </w:p>
        </w:tc>
      </w:tr>
      <w:tr w14:paraId="171DF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708" w:type="dxa"/>
            <w:vMerge w:val="continue"/>
            <w:vAlign w:val="center"/>
          </w:tcPr>
          <w:p w14:paraId="1994E4D2">
            <w:pPr>
              <w:widowControl/>
              <w:jc w:val="left"/>
              <w:rPr>
                <w:rFonts w:hint="eastAsia" w:ascii="宋体" w:hAnsi="宋体" w:cs="宋体"/>
                <w:color w:val="000000"/>
                <w:kern w:val="0"/>
                <w:sz w:val="22"/>
                <w:szCs w:val="22"/>
              </w:rPr>
            </w:pPr>
          </w:p>
        </w:tc>
        <w:tc>
          <w:tcPr>
            <w:tcW w:w="1559" w:type="dxa"/>
            <w:vMerge w:val="continue"/>
            <w:vAlign w:val="center"/>
          </w:tcPr>
          <w:p w14:paraId="19F20F95">
            <w:pPr>
              <w:widowControl/>
              <w:jc w:val="left"/>
              <w:rPr>
                <w:rFonts w:hint="eastAsia" w:ascii="宋体" w:hAnsi="宋体" w:cs="宋体"/>
                <w:color w:val="000000"/>
                <w:kern w:val="0"/>
                <w:sz w:val="22"/>
                <w:szCs w:val="22"/>
              </w:rPr>
            </w:pPr>
          </w:p>
        </w:tc>
        <w:tc>
          <w:tcPr>
            <w:tcW w:w="6210" w:type="dxa"/>
            <w:vAlign w:val="center"/>
          </w:tcPr>
          <w:p w14:paraId="244FA86A">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工业场景 APP</w:t>
            </w:r>
          </w:p>
          <w:p w14:paraId="5733FA50">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产品能效等级分拣 </w:t>
            </w:r>
          </w:p>
          <w:p w14:paraId="25972932">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机械臂控制：利用定制工业互联神经总线功能，完成平板对机械臂的互联互通与设备监控。</w:t>
            </w:r>
          </w:p>
          <w:p w14:paraId="16A17F33">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工业视觉检测：利用 RK3588 开发板的神经网络处理器，结合计算机视觉与深度学习技术，实现视频流数据采集与能效标签识别。</w:t>
            </w:r>
          </w:p>
        </w:tc>
      </w:tr>
      <w:tr w14:paraId="60121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708" w:type="dxa"/>
            <w:vMerge w:val="continue"/>
            <w:vAlign w:val="center"/>
          </w:tcPr>
          <w:p w14:paraId="6BFC9C18">
            <w:pPr>
              <w:widowControl/>
              <w:jc w:val="left"/>
              <w:rPr>
                <w:rFonts w:hint="eastAsia" w:ascii="宋体" w:hAnsi="宋体" w:cs="宋体"/>
                <w:color w:val="000000"/>
                <w:kern w:val="0"/>
                <w:sz w:val="22"/>
                <w:szCs w:val="22"/>
              </w:rPr>
            </w:pPr>
          </w:p>
        </w:tc>
        <w:tc>
          <w:tcPr>
            <w:tcW w:w="1559" w:type="dxa"/>
            <w:vMerge w:val="continue"/>
            <w:vAlign w:val="center"/>
          </w:tcPr>
          <w:p w14:paraId="362BCD7F">
            <w:pPr>
              <w:widowControl/>
              <w:jc w:val="left"/>
              <w:rPr>
                <w:rFonts w:hint="eastAsia" w:ascii="宋体" w:hAnsi="宋体" w:cs="宋体"/>
                <w:color w:val="000000"/>
                <w:kern w:val="0"/>
                <w:sz w:val="22"/>
                <w:szCs w:val="22"/>
              </w:rPr>
            </w:pPr>
          </w:p>
        </w:tc>
        <w:tc>
          <w:tcPr>
            <w:tcW w:w="6210" w:type="dxa"/>
            <w:vAlign w:val="center"/>
          </w:tcPr>
          <w:p w14:paraId="44FEB9DB">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产品入库：利用工业扫码头与国产信创的分布式任务调度，结合定制工业互联神经总线功能，完成手持终端的信息采集与数据上发。</w:t>
            </w:r>
          </w:p>
        </w:tc>
      </w:tr>
      <w:tr w14:paraId="5E304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708" w:type="dxa"/>
            <w:vMerge w:val="continue"/>
            <w:vAlign w:val="center"/>
          </w:tcPr>
          <w:p w14:paraId="148BC216">
            <w:pPr>
              <w:widowControl/>
              <w:jc w:val="left"/>
              <w:rPr>
                <w:rFonts w:hint="eastAsia" w:ascii="宋体" w:hAnsi="宋体" w:cs="宋体"/>
                <w:color w:val="000000"/>
                <w:kern w:val="0"/>
                <w:sz w:val="22"/>
                <w:szCs w:val="22"/>
              </w:rPr>
            </w:pPr>
          </w:p>
        </w:tc>
        <w:tc>
          <w:tcPr>
            <w:tcW w:w="1559" w:type="dxa"/>
            <w:vMerge w:val="continue"/>
            <w:vAlign w:val="center"/>
          </w:tcPr>
          <w:p w14:paraId="3AFC6F4B">
            <w:pPr>
              <w:widowControl/>
              <w:jc w:val="left"/>
              <w:rPr>
                <w:rFonts w:hint="eastAsia" w:ascii="宋体" w:hAnsi="宋体" w:cs="宋体"/>
                <w:color w:val="000000"/>
                <w:kern w:val="0"/>
                <w:sz w:val="22"/>
                <w:szCs w:val="22"/>
              </w:rPr>
            </w:pPr>
          </w:p>
        </w:tc>
        <w:tc>
          <w:tcPr>
            <w:tcW w:w="6210" w:type="dxa"/>
            <w:vAlign w:val="center"/>
          </w:tcPr>
          <w:p w14:paraId="18F8F250">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▲生产监视：利用开源鸿蒙的分布式任务调度、定制工业互联神经总线功能，实现对工业控制柜数据的实时监视。（提供工业预警系统相关软件著作权</w:t>
            </w:r>
            <w:r>
              <w:rPr>
                <w:rFonts w:hint="eastAsia" w:ascii="宋体" w:hAnsi="宋体" w:cs="宋体"/>
                <w:color w:val="000000"/>
                <w:kern w:val="0"/>
                <w:sz w:val="22"/>
                <w:szCs w:val="22"/>
                <w:highlight w:val="yellow"/>
                <w:lang w:eastAsia="zh-CN"/>
              </w:rPr>
              <w:t>复印件</w:t>
            </w:r>
            <w:r>
              <w:rPr>
                <w:rFonts w:hint="eastAsia"/>
                <w:bCs/>
                <w:szCs w:val="20"/>
                <w:highlight w:val="yellow"/>
                <w:lang w:eastAsia="zh-CN"/>
              </w:rPr>
              <w:t>加盖投标人公章</w:t>
            </w:r>
            <w:r>
              <w:rPr>
                <w:rFonts w:hint="eastAsia" w:ascii="宋体" w:hAnsi="宋体" w:cs="宋体"/>
                <w:color w:val="000000"/>
                <w:kern w:val="0"/>
                <w:sz w:val="22"/>
                <w:szCs w:val="22"/>
              </w:rPr>
              <w:t>）</w:t>
            </w:r>
          </w:p>
          <w:p w14:paraId="367262F0">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远程控制：利用定制的工业互联神经总线，与信息系统连接，完成数据采集与远程控制。</w:t>
            </w:r>
          </w:p>
        </w:tc>
      </w:tr>
    </w:tbl>
    <w:p w14:paraId="162C760F">
      <w:pPr>
        <w:jc w:val="left"/>
        <w:textAlignment w:val="center"/>
        <w:rPr>
          <w:bCs/>
          <w:szCs w:val="20"/>
        </w:rPr>
      </w:pPr>
    </w:p>
    <w:p w14:paraId="17417FAD">
      <w:pPr>
        <w:spacing w:line="300" w:lineRule="auto"/>
        <w:ind w:firstLine="482" w:firstLineChars="200"/>
        <w:outlineLvl w:val="1"/>
        <w:rPr>
          <w:rFonts w:hint="eastAsia" w:ascii="宋体" w:hAnsi="宋体"/>
          <w:b/>
          <w:bCs/>
          <w:sz w:val="24"/>
        </w:rPr>
      </w:pPr>
      <w:r>
        <w:rPr>
          <w:rFonts w:hint="eastAsia" w:ascii="宋体" w:hAnsi="宋体"/>
          <w:b/>
          <w:bCs/>
          <w:sz w:val="24"/>
        </w:rPr>
        <w:t>★四、商务要求</w:t>
      </w:r>
    </w:p>
    <w:tbl>
      <w:tblPr>
        <w:tblStyle w:val="2"/>
        <w:tblpPr w:leftFromText="180" w:rightFromText="180" w:vertAnchor="text" w:horzAnchor="page" w:tblpXSpec="center" w:tblpY="156"/>
        <w:tblOverlap w:val="never"/>
        <w:tblW w:w="7575"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5504"/>
      </w:tblGrid>
      <w:tr w14:paraId="2473271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9E02262">
            <w:pPr>
              <w:shd w:val="solid" w:color="FFFFFF" w:fill="auto"/>
              <w:autoSpaceDN w:val="0"/>
              <w:snapToGrid w:val="0"/>
              <w:spacing w:line="360" w:lineRule="auto"/>
              <w:jc w:val="center"/>
              <w:rPr>
                <w:rFonts w:hint="eastAsia" w:ascii="宋体" w:hAnsi="宋体"/>
                <w:szCs w:val="21"/>
                <w:shd w:val="clear" w:color="auto" w:fill="FFFFFF"/>
              </w:rPr>
            </w:pPr>
            <w:r>
              <w:rPr>
                <w:rFonts w:ascii="宋体" w:hAnsi="宋体"/>
                <w:szCs w:val="21"/>
                <w:shd w:val="clear" w:color="auto" w:fill="FFFFFF"/>
              </w:rPr>
              <w:t>质保期</w:t>
            </w:r>
          </w:p>
        </w:tc>
        <w:tc>
          <w:tcPr>
            <w:tcW w:w="5504"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2BB64A18">
            <w:pPr>
              <w:shd w:val="solid" w:color="FFFFFF" w:fill="auto"/>
              <w:autoSpaceDN w:val="0"/>
              <w:snapToGrid w:val="0"/>
              <w:spacing w:line="360" w:lineRule="auto"/>
              <w:jc w:val="left"/>
              <w:rPr>
                <w:rFonts w:hint="eastAsia" w:ascii="宋体" w:hAnsi="宋体"/>
                <w:szCs w:val="21"/>
                <w:shd w:val="clear" w:color="auto" w:fill="FFFFFF"/>
              </w:rPr>
            </w:pPr>
            <w:r>
              <w:rPr>
                <w:rFonts w:ascii="宋体" w:hAnsi="宋体"/>
                <w:szCs w:val="21"/>
                <w:shd w:val="clear" w:color="auto" w:fill="FFFFFF"/>
              </w:rPr>
              <w:t>12个月</w:t>
            </w:r>
          </w:p>
        </w:tc>
      </w:tr>
      <w:tr w14:paraId="4B53C4F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048ED787">
            <w:pPr>
              <w:shd w:val="solid" w:color="FFFFFF" w:fill="auto"/>
              <w:autoSpaceDN w:val="0"/>
              <w:snapToGrid w:val="0"/>
              <w:spacing w:line="360" w:lineRule="auto"/>
              <w:jc w:val="center"/>
              <w:rPr>
                <w:rFonts w:hint="eastAsia" w:ascii="宋体" w:hAnsi="宋体"/>
                <w:szCs w:val="21"/>
                <w:shd w:val="clear" w:color="auto" w:fill="FFFFFF"/>
              </w:rPr>
            </w:pPr>
            <w:r>
              <w:rPr>
                <w:rFonts w:ascii="宋体" w:hAnsi="宋体"/>
                <w:szCs w:val="21"/>
                <w:shd w:val="clear" w:color="auto" w:fill="FFFFFF"/>
              </w:rPr>
              <w:t>售后技术服务要求</w:t>
            </w:r>
          </w:p>
        </w:tc>
        <w:tc>
          <w:tcPr>
            <w:tcW w:w="5504"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2ACF748">
            <w:pPr>
              <w:shd w:val="solid" w:color="FFFFFF" w:fill="auto"/>
              <w:autoSpaceDN w:val="0"/>
              <w:snapToGrid w:val="0"/>
              <w:spacing w:line="360" w:lineRule="auto"/>
              <w:jc w:val="left"/>
              <w:rPr>
                <w:rFonts w:hint="eastAsia" w:ascii="宋体" w:hAnsi="宋体"/>
                <w:szCs w:val="21"/>
                <w:shd w:val="clear" w:color="auto" w:fill="FFFFFF"/>
              </w:rPr>
            </w:pPr>
            <w:r>
              <w:rPr>
                <w:rFonts w:ascii="宋体" w:hAnsi="宋体"/>
                <w:szCs w:val="21"/>
                <w:shd w:val="clear" w:color="auto" w:fill="FFFFFF"/>
              </w:rPr>
              <w:t>含安装、调试、维修、保养、人员培训等。</w:t>
            </w:r>
          </w:p>
          <w:p w14:paraId="2BE7E86C">
            <w:pPr>
              <w:shd w:val="solid" w:color="FFFFFF" w:fill="auto"/>
              <w:autoSpaceDN w:val="0"/>
              <w:snapToGrid w:val="0"/>
              <w:spacing w:line="360" w:lineRule="auto"/>
              <w:jc w:val="left"/>
              <w:rPr>
                <w:rFonts w:hint="eastAsia" w:ascii="宋体" w:hAnsi="宋体"/>
                <w:szCs w:val="21"/>
                <w:shd w:val="clear" w:color="auto" w:fill="FFFFFF"/>
              </w:rPr>
            </w:pPr>
            <w:r>
              <w:rPr>
                <w:rFonts w:hint="eastAsia" w:ascii="宋体" w:hAnsi="宋体"/>
                <w:szCs w:val="21"/>
                <w:shd w:val="clear" w:color="auto" w:fill="FFFFFF"/>
              </w:rPr>
              <w:t>培训仅限于基本操作培训。</w:t>
            </w:r>
          </w:p>
        </w:tc>
      </w:tr>
      <w:tr w14:paraId="6A28527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77" w:hRule="atLeast"/>
          <w:jc w:val="center"/>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5A32B9B">
            <w:pPr>
              <w:shd w:val="solid" w:color="FFFFFF" w:fill="auto"/>
              <w:autoSpaceDN w:val="0"/>
              <w:snapToGrid w:val="0"/>
              <w:spacing w:line="360" w:lineRule="auto"/>
              <w:jc w:val="center"/>
              <w:rPr>
                <w:rFonts w:hint="eastAsia" w:ascii="宋体" w:hAnsi="宋体"/>
                <w:szCs w:val="21"/>
                <w:shd w:val="clear" w:color="auto" w:fill="FFFFFF"/>
              </w:rPr>
            </w:pPr>
            <w:r>
              <w:rPr>
                <w:rFonts w:ascii="宋体" w:hAnsi="宋体"/>
                <w:szCs w:val="21"/>
                <w:shd w:val="clear" w:color="auto" w:fill="FFFFFF"/>
              </w:rPr>
              <w:t>交货时间</w:t>
            </w:r>
          </w:p>
        </w:tc>
        <w:tc>
          <w:tcPr>
            <w:tcW w:w="5504"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0A6AB176">
            <w:pPr>
              <w:shd w:val="solid" w:color="FFFFFF" w:fill="auto"/>
              <w:autoSpaceDN w:val="0"/>
              <w:snapToGrid w:val="0"/>
              <w:spacing w:after="100" w:afterAutospacing="1"/>
              <w:jc w:val="left"/>
              <w:rPr>
                <w:rFonts w:hint="eastAsia" w:ascii="宋体" w:hAnsi="宋体"/>
                <w:szCs w:val="21"/>
                <w:shd w:val="clear" w:color="auto" w:fill="FFFFFF"/>
              </w:rPr>
            </w:pPr>
            <w:r>
              <w:rPr>
                <w:rFonts w:hint="eastAsia" w:ascii="宋体" w:hAnsi="宋体" w:cs="宋体"/>
              </w:rPr>
              <w:t>合同签订生效</w:t>
            </w:r>
            <w:r>
              <w:rPr>
                <w:rFonts w:hint="eastAsia" w:ascii="宋体" w:hAnsi="宋体" w:cs="宋体"/>
                <w:szCs w:val="21"/>
              </w:rPr>
              <w:t xml:space="preserve">后 </w:t>
            </w:r>
            <w:r>
              <w:rPr>
                <w:rFonts w:hint="eastAsia" w:ascii="宋体" w:hAnsi="宋体" w:cs="宋体"/>
                <w:szCs w:val="21"/>
                <w:u w:val="single"/>
              </w:rPr>
              <w:t>30日历</w:t>
            </w:r>
            <w:r>
              <w:rPr>
                <w:rFonts w:hint="eastAsia" w:ascii="宋体" w:hAnsi="宋体" w:cs="宋体"/>
                <w:szCs w:val="21"/>
              </w:rPr>
              <w:t>天内。</w:t>
            </w:r>
            <w:r>
              <w:rPr>
                <w:rFonts w:hint="eastAsia" w:ascii="宋体" w:hAnsi="宋体" w:cs="宋体"/>
              </w:rPr>
              <w:t>逾期提供货物，每天按合同款总额2‰的额度支付延期交货违约金（具体见第五章合同条款）。</w:t>
            </w:r>
          </w:p>
        </w:tc>
      </w:tr>
      <w:tr w14:paraId="5087A81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78" w:hRule="atLeast"/>
          <w:jc w:val="center"/>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9CE3343">
            <w:pPr>
              <w:shd w:val="solid" w:color="FFFFFF" w:fill="auto"/>
              <w:autoSpaceDN w:val="0"/>
              <w:snapToGrid w:val="0"/>
              <w:spacing w:line="360" w:lineRule="auto"/>
              <w:jc w:val="center"/>
              <w:rPr>
                <w:rFonts w:hint="eastAsia" w:ascii="宋体" w:hAnsi="宋体"/>
                <w:szCs w:val="21"/>
                <w:shd w:val="clear" w:color="auto" w:fill="FFFFFF"/>
              </w:rPr>
            </w:pPr>
            <w:r>
              <w:rPr>
                <w:rFonts w:ascii="宋体" w:hAnsi="宋体"/>
                <w:szCs w:val="21"/>
                <w:shd w:val="clear" w:color="auto" w:fill="FFFFFF"/>
              </w:rPr>
              <w:t>付款方式</w:t>
            </w:r>
          </w:p>
        </w:tc>
        <w:tc>
          <w:tcPr>
            <w:tcW w:w="5504"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35CAB37C">
            <w:pPr>
              <w:shd w:val="solid" w:color="FFFFFF" w:fill="auto"/>
              <w:autoSpaceDN w:val="0"/>
              <w:snapToGrid w:val="0"/>
              <w:spacing w:line="360" w:lineRule="auto"/>
              <w:jc w:val="left"/>
              <w:rPr>
                <w:rFonts w:hint="eastAsia" w:ascii="宋体" w:hAnsi="宋体"/>
                <w:szCs w:val="21"/>
                <w:shd w:val="clear" w:color="auto" w:fill="FFFFFF"/>
              </w:rPr>
            </w:pPr>
            <w:r>
              <w:rPr>
                <w:rFonts w:ascii="宋体" w:hAnsi="宋体"/>
                <w:szCs w:val="21"/>
                <w:shd w:val="clear" w:color="auto" w:fill="FFFFFF"/>
              </w:rPr>
              <w:t>见</w:t>
            </w:r>
            <w:r>
              <w:rPr>
                <w:rFonts w:hint="eastAsia"/>
                <w:szCs w:val="21"/>
              </w:rPr>
              <w:t>第五章合同条款</w:t>
            </w:r>
          </w:p>
        </w:tc>
      </w:tr>
      <w:tr w14:paraId="771FD5F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25" w:hRule="atLeast"/>
          <w:jc w:val="center"/>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6246B10">
            <w:pPr>
              <w:shd w:val="solid" w:color="FFFFFF" w:fill="auto"/>
              <w:autoSpaceDN w:val="0"/>
              <w:snapToGrid w:val="0"/>
              <w:spacing w:line="360" w:lineRule="auto"/>
              <w:jc w:val="center"/>
              <w:rPr>
                <w:rFonts w:hint="eastAsia" w:ascii="宋体" w:hAnsi="宋体"/>
                <w:szCs w:val="21"/>
                <w:shd w:val="clear" w:color="auto" w:fill="FFFFFF"/>
              </w:rPr>
            </w:pPr>
            <w:r>
              <w:rPr>
                <w:rFonts w:ascii="宋体" w:hAnsi="宋体"/>
                <w:szCs w:val="21"/>
                <w:shd w:val="clear" w:color="auto" w:fill="FFFFFF"/>
              </w:rPr>
              <w:t>售后服务保障或维修响应时间要求</w:t>
            </w:r>
          </w:p>
        </w:tc>
        <w:tc>
          <w:tcPr>
            <w:tcW w:w="5504"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3154F0DF">
            <w:pPr>
              <w:shd w:val="solid" w:color="FFFFFF" w:fill="auto"/>
              <w:autoSpaceDN w:val="0"/>
              <w:snapToGrid w:val="0"/>
              <w:spacing w:line="360" w:lineRule="auto"/>
              <w:jc w:val="left"/>
              <w:rPr>
                <w:rFonts w:hint="eastAsia" w:ascii="宋体" w:hAnsi="宋体"/>
                <w:szCs w:val="21"/>
                <w:shd w:val="clear" w:color="auto" w:fill="FFFFFF"/>
              </w:rPr>
            </w:pPr>
            <w:r>
              <w:rPr>
                <w:rFonts w:hint="eastAsia" w:ascii="宋体" w:hAnsi="宋体" w:cs="宋体"/>
                <w:szCs w:val="21"/>
              </w:rPr>
              <w:t>乙方</w:t>
            </w:r>
            <w:r>
              <w:rPr>
                <w:rFonts w:hint="eastAsia" w:ascii="宋体" w:hAnsi="宋体" w:cs="宋体"/>
                <w:szCs w:val="21"/>
                <w:u w:val="single"/>
              </w:rPr>
              <w:t xml:space="preserve"> 1 </w:t>
            </w:r>
            <w:r>
              <w:rPr>
                <w:rFonts w:hint="eastAsia" w:ascii="宋体" w:hAnsi="宋体" w:cs="宋体"/>
                <w:szCs w:val="21"/>
              </w:rPr>
              <w:t>小时内响应甲方的维修要求，</w:t>
            </w:r>
            <w:r>
              <w:rPr>
                <w:rFonts w:hint="eastAsia" w:ascii="宋体" w:hAnsi="宋体" w:cs="宋体"/>
                <w:szCs w:val="21"/>
                <w:u w:val="single"/>
              </w:rPr>
              <w:t xml:space="preserve"> 4 </w:t>
            </w:r>
            <w:r>
              <w:rPr>
                <w:rFonts w:hint="eastAsia" w:ascii="宋体" w:hAnsi="宋体" w:cs="宋体"/>
                <w:szCs w:val="21"/>
              </w:rPr>
              <w:t>小时内解决，如超过</w:t>
            </w:r>
            <w:r>
              <w:rPr>
                <w:rFonts w:hint="eastAsia" w:ascii="宋体" w:hAnsi="宋体" w:cs="宋体"/>
                <w:szCs w:val="21"/>
                <w:u w:val="single"/>
              </w:rPr>
              <w:t xml:space="preserve"> 4 </w:t>
            </w:r>
            <w:r>
              <w:rPr>
                <w:rFonts w:hint="eastAsia" w:ascii="宋体" w:hAnsi="宋体" w:cs="宋体"/>
                <w:szCs w:val="21"/>
              </w:rPr>
              <w:t>小时仍不能解决，由乙方在</w:t>
            </w:r>
            <w:r>
              <w:rPr>
                <w:rFonts w:hint="eastAsia" w:ascii="宋体" w:hAnsi="宋体" w:cs="宋体"/>
                <w:szCs w:val="21"/>
                <w:u w:val="single"/>
              </w:rPr>
              <w:t xml:space="preserve"> 2 </w:t>
            </w:r>
            <w:r>
              <w:rPr>
                <w:rFonts w:hint="eastAsia" w:ascii="宋体" w:hAnsi="宋体" w:cs="宋体"/>
                <w:szCs w:val="21"/>
              </w:rPr>
              <w:t>小时内提供性能不低于故障产品的备用产品。</w:t>
            </w:r>
          </w:p>
        </w:tc>
      </w:tr>
    </w:tbl>
    <w:p w14:paraId="468A0B4E">
      <w:pPr>
        <w:spacing w:line="300" w:lineRule="auto"/>
        <w:ind w:firstLine="480" w:firstLineChars="200"/>
        <w:rPr>
          <w:rFonts w:hint="eastAsia" w:ascii="宋体" w:hAnsi="宋体"/>
          <w:sz w:val="24"/>
        </w:rPr>
      </w:pPr>
    </w:p>
    <w:p w14:paraId="08557E1A">
      <w:pPr>
        <w:spacing w:line="300" w:lineRule="auto"/>
        <w:ind w:firstLine="482" w:firstLineChars="200"/>
        <w:outlineLvl w:val="1"/>
        <w:rPr>
          <w:rFonts w:hint="eastAsia" w:ascii="宋体" w:hAnsi="宋体"/>
          <w:b/>
          <w:bCs/>
          <w:sz w:val="24"/>
        </w:rPr>
      </w:pPr>
      <w:bookmarkStart w:id="0" w:name="_GoBack"/>
      <w:bookmarkEnd w:id="0"/>
      <w:r>
        <w:rPr>
          <w:rFonts w:hint="eastAsia" w:ascii="宋体" w:hAnsi="宋体"/>
          <w:b/>
          <w:bCs/>
          <w:sz w:val="24"/>
        </w:rPr>
        <w:t>五、履约验收要求</w:t>
      </w:r>
    </w:p>
    <w:p w14:paraId="28E5E230">
      <w:pPr>
        <w:spacing w:line="300" w:lineRule="auto"/>
        <w:ind w:firstLine="420" w:firstLineChars="200"/>
        <w:rPr>
          <w:rFonts w:hint="eastAsia" w:ascii="宋体" w:hAnsi="宋体"/>
          <w:szCs w:val="21"/>
        </w:rPr>
      </w:pPr>
      <w:r>
        <w:rPr>
          <w:rFonts w:hint="eastAsia" w:ascii="宋体" w:hAnsi="宋体"/>
          <w:szCs w:val="21"/>
        </w:rPr>
        <w:t>中标人严格按约定时间供货，提供的货物必须符合我国最新颁布的与之相关的技术规范与标准，成品货物的到货验收包括但不限于：品名、品牌、尺码、数量、质量、铭牌、产品外观及外包装完整无破损。</w:t>
      </w:r>
    </w:p>
    <w:p w14:paraId="6447F1BD">
      <w:pPr>
        <w:spacing w:line="300" w:lineRule="auto"/>
        <w:ind w:firstLine="420" w:firstLineChars="200"/>
        <w:rPr>
          <w:rFonts w:hint="eastAsia" w:ascii="宋体" w:hAnsi="宋体"/>
          <w:szCs w:val="21"/>
        </w:rPr>
      </w:pPr>
      <w:r>
        <w:rPr>
          <w:rFonts w:hint="eastAsia" w:ascii="宋体" w:hAnsi="宋体"/>
          <w:szCs w:val="21"/>
        </w:rPr>
        <w:t>中标人应将所提供货物的装箱清单、用户手册、原厂保修卡、随机资料及配件工具等交付给采购人。中标人不能完整交付货物及本款规定的单证和工具的，视为未按合同约定交货，应负责补齐，因此导致逾期交付的，由中标人承担相关的违约责任。</w:t>
      </w:r>
    </w:p>
    <w:p w14:paraId="701A73FF">
      <w:pPr>
        <w:spacing w:line="300" w:lineRule="auto"/>
        <w:ind w:firstLine="420" w:firstLineChars="200"/>
        <w:rPr>
          <w:rFonts w:hint="eastAsia" w:ascii="宋体" w:hAnsi="宋体"/>
          <w:szCs w:val="21"/>
        </w:rPr>
      </w:pPr>
      <w:r>
        <w:rPr>
          <w:rFonts w:hint="eastAsia" w:ascii="宋体" w:hAnsi="宋体"/>
          <w:szCs w:val="21"/>
        </w:rPr>
        <w:t>中标人在交货前应对所有货物初步检查，并列出清单，作为采购人收货验收和使用的技术条件依据，清单应随货物一起交付采购人。</w:t>
      </w:r>
    </w:p>
    <w:p w14:paraId="70470599">
      <w:pPr>
        <w:spacing w:line="300" w:lineRule="auto"/>
        <w:ind w:firstLine="420" w:firstLineChars="200"/>
        <w:rPr>
          <w:rFonts w:hint="eastAsia" w:ascii="宋体" w:hAnsi="宋体"/>
          <w:szCs w:val="21"/>
        </w:rPr>
      </w:pPr>
      <w:r>
        <w:rPr>
          <w:rFonts w:hint="eastAsia" w:ascii="宋体" w:hAnsi="宋体"/>
          <w:szCs w:val="21"/>
        </w:rPr>
        <w:t>货物运抵采购人指定地点，采购人检查和记录外包装及设备外观状况有无破损、锈蚀、受潮等，按合同和装箱单对货物的外观、质量、型号、规格、数量、配件及附件等进行清点检验。清点无误后中标方需在3天内开始组织安装、调试、培训，并取得相关完成凭证提交采购人。</w:t>
      </w:r>
    </w:p>
    <w:p w14:paraId="3E89C75F">
      <w:pPr>
        <w:spacing w:line="300" w:lineRule="auto"/>
        <w:ind w:firstLine="420" w:firstLineChars="200"/>
        <w:rPr>
          <w:rFonts w:hint="eastAsia" w:ascii="宋体" w:hAnsi="宋体"/>
          <w:szCs w:val="21"/>
        </w:rPr>
      </w:pPr>
      <w:r>
        <w:rPr>
          <w:rFonts w:hint="eastAsia" w:ascii="宋体" w:hAnsi="宋体"/>
          <w:szCs w:val="21"/>
        </w:rPr>
        <w:t>采购人试运行合格两周内依法组织验收工作。采购人在组织履约验收前，将根据项目特点制定验收方案，明确履约验收的时间、方式、程序等内容，中标人应根据验收方案内容做好相应配合工作。如有必要，采购人邀请参加本项目的其他供应商或第三方专业机构及专家参与验收，相关意见将作为验收的参考资料。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p>
    <w:p w14:paraId="0DA33662">
      <w:pPr>
        <w:spacing w:line="300" w:lineRule="auto"/>
        <w:ind w:firstLine="420" w:firstLineChars="200"/>
        <w:rPr>
          <w:rFonts w:hint="eastAsia" w:ascii="宋体" w:hAnsi="宋体"/>
          <w:szCs w:val="21"/>
        </w:rPr>
      </w:pPr>
      <w:r>
        <w:rPr>
          <w:rFonts w:hint="eastAsia" w:ascii="宋体" w:hAnsi="宋体"/>
          <w:szCs w:val="21"/>
        </w:rPr>
        <w:t>验收结束后，验收小组出具验收报告，列明各项标准的验收情况及项目总体评价。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p>
    <w:p w14:paraId="6A6D471B">
      <w:pPr>
        <w:spacing w:line="300" w:lineRule="auto"/>
        <w:ind w:firstLine="420" w:firstLineChars="200"/>
        <w:rPr>
          <w:rFonts w:hint="eastAsia" w:ascii="宋体" w:hAnsi="宋体"/>
          <w:szCs w:val="21"/>
        </w:rPr>
      </w:pPr>
    </w:p>
    <w:p w14:paraId="0C233C9B">
      <w:pPr>
        <w:spacing w:line="300" w:lineRule="auto"/>
        <w:ind w:firstLine="482" w:firstLineChars="200"/>
        <w:outlineLvl w:val="1"/>
        <w:rPr>
          <w:rFonts w:hint="eastAsia" w:ascii="宋体" w:hAnsi="宋体"/>
          <w:b/>
          <w:bCs/>
          <w:sz w:val="24"/>
        </w:rPr>
      </w:pPr>
      <w:r>
        <w:rPr>
          <w:rFonts w:hint="eastAsia" w:ascii="宋体" w:hAnsi="宋体"/>
          <w:b/>
          <w:bCs/>
          <w:sz w:val="24"/>
        </w:rPr>
        <w:t>六、其它要求</w:t>
      </w:r>
    </w:p>
    <w:p w14:paraId="280983A1">
      <w:pPr>
        <w:spacing w:line="300" w:lineRule="auto"/>
        <w:ind w:firstLine="420" w:firstLineChars="200"/>
        <w:rPr>
          <w:rFonts w:hint="eastAsia" w:ascii="宋体" w:hAnsi="宋体" w:cs="MS Shell Dlg"/>
          <w:szCs w:val="21"/>
        </w:rPr>
      </w:pPr>
      <w:r>
        <w:rPr>
          <w:rFonts w:hint="eastAsia" w:ascii="宋体" w:hAnsi="宋体" w:cs="MS Shell Dlg"/>
          <w:szCs w:val="21"/>
        </w:rPr>
        <w:t>(1)因不同投标人的设备设计原理未必完全相同，投标人可视自身情况配置设备及附件，但应能充分满足招标人的功能及参数要求。</w:t>
      </w:r>
    </w:p>
    <w:p w14:paraId="54EEEE5E">
      <w:pPr>
        <w:spacing w:line="300" w:lineRule="auto"/>
        <w:ind w:firstLine="420" w:firstLineChars="200"/>
        <w:rPr>
          <w:rFonts w:hint="eastAsia" w:ascii="宋体" w:hAnsi="宋体" w:cs="MS Shell Dlg"/>
          <w:szCs w:val="21"/>
        </w:rPr>
      </w:pPr>
      <w:r>
        <w:rPr>
          <w:rFonts w:hint="eastAsia" w:ascii="宋体" w:hAnsi="宋体" w:cs="MS Shell Dlg"/>
          <w:szCs w:val="21"/>
        </w:rPr>
        <w:t>(2)投标人应保证提供满足招标人正常使用的必要配置及附件而不再需要花费任何额外的费用，即使采购方在制定招标书时要求不够具体。安装后就能正常工作。</w:t>
      </w:r>
    </w:p>
    <w:p w14:paraId="5888C459">
      <w:pPr>
        <w:spacing w:line="300" w:lineRule="auto"/>
        <w:ind w:firstLine="420" w:firstLineChars="200"/>
        <w:rPr>
          <w:rFonts w:hint="eastAsia" w:ascii="宋体" w:hAnsi="宋体"/>
          <w:szCs w:val="21"/>
        </w:rPr>
      </w:pPr>
      <w:r>
        <w:rPr>
          <w:rFonts w:hint="eastAsia" w:ascii="宋体" w:hAnsi="宋体" w:cs="MS Shell Dlg"/>
          <w:szCs w:val="21"/>
        </w:rPr>
        <w:t xml:space="preserve">(3)房屋装修改造工程室内环境必须符合GB50325-2001《民用建筑工程室内环境污染控制规范》,并达到GB/T18883-2002《室内空气质量标准》，项目竣工后由中标人委托市级及以上检测机构进行检测并出具合格报告，如无合格报告，招标人不予验收，中标人进行整改直至合格，造成工期延误的，责任由中标人承担。  </w:t>
      </w:r>
    </w:p>
    <w:p w14:paraId="1F6BCD8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30204"/>
    <w:charset w:val="00"/>
    <w:family w:val="swiss"/>
    <w:pitch w:val="default"/>
    <w:sig w:usb0="00000000" w:usb1="00000000" w:usb2="00000000" w:usb3="00000000" w:csb0="00000000" w:csb1="00000000"/>
  </w:font>
  <w:font w:name="MS Shell Dlg">
    <w:altName w:val="Microsoft Sans Serif"/>
    <w:panose1 w:val="020B0604020202020204"/>
    <w:charset w:val="00"/>
    <w:family w:val="swiss"/>
    <w:pitch w:val="default"/>
    <w:sig w:usb0="00000000" w:usb1="00000000"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CA53B3"/>
    <w:rsid w:val="030E6BBE"/>
    <w:rsid w:val="09101BBC"/>
    <w:rsid w:val="091F0E9B"/>
    <w:rsid w:val="09623170"/>
    <w:rsid w:val="0DCA53B3"/>
    <w:rsid w:val="17092182"/>
    <w:rsid w:val="1C7B16F4"/>
    <w:rsid w:val="1D6F7A38"/>
    <w:rsid w:val="22463CF8"/>
    <w:rsid w:val="270D3B54"/>
    <w:rsid w:val="28EF7EF7"/>
    <w:rsid w:val="2B0679B7"/>
    <w:rsid w:val="2E5A6C8B"/>
    <w:rsid w:val="31F83B0E"/>
    <w:rsid w:val="33722611"/>
    <w:rsid w:val="38742C06"/>
    <w:rsid w:val="3A296990"/>
    <w:rsid w:val="470615DE"/>
    <w:rsid w:val="4CFB377C"/>
    <w:rsid w:val="52766386"/>
    <w:rsid w:val="607C3374"/>
    <w:rsid w:val="69683078"/>
    <w:rsid w:val="6E0C6685"/>
    <w:rsid w:val="7B4D5003"/>
    <w:rsid w:val="7DB1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2026-06-27T11:32:00Z</dcterms:created>
  <dc:creator>WD..</dc:creator>
  <cp:lastModifiedBy>WD..</cp:lastModifiedBy>
  <dcterms:modified xsi:type="dcterms:W3CDTF">2026-06-27T11:32:58Z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B5434A8718524486BA5E6A47805DDBFB_11</vt:lpwstr>
  </property>
  <property fmtid="{D5CDD505-2E9C-101B-9397-08002B2CF9AE}" pid="4" name="KSOTemplateDocerSaveRecord">
    <vt:lpwstr>eyJoZGlkIjoiZWNkMTE4ZjYyNTk1NDdlYjc5MWM1MjYwM2E5YjgyM2YiLCJ1c2VySWQiOiI0MzIxMTkxMDIifQ==</vt:lpwstr>
  </property>
</Properties>
</file>