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2E4A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第四章 项目采购需求</w:t>
      </w:r>
    </w:p>
    <w:p w14:paraId="1175254F">
      <w:pPr>
        <w:widowControl/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一、货物（标的）采购清单、规格（标准）及功能指标：</w:t>
      </w:r>
    </w:p>
    <w:p w14:paraId="7939BA07">
      <w:pPr>
        <w:pStyle w:val="6"/>
      </w:pPr>
      <w:r>
        <w:rPr>
          <w:rFonts w:hint="eastAsia"/>
        </w:rPr>
        <w:t>1、采购数量和产品标准</w:t>
      </w:r>
    </w:p>
    <w:tbl>
      <w:tblPr>
        <w:tblStyle w:val="4"/>
        <w:tblW w:w="852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2457"/>
        <w:gridCol w:w="1020"/>
        <w:gridCol w:w="3397"/>
        <w:gridCol w:w="759"/>
      </w:tblGrid>
      <w:tr w14:paraId="14C82E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9" w:type="dxa"/>
            <w:vAlign w:val="center"/>
          </w:tcPr>
          <w:p w14:paraId="5D8E442E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序号</w:t>
            </w:r>
          </w:p>
        </w:tc>
        <w:tc>
          <w:tcPr>
            <w:tcW w:w="2457" w:type="dxa"/>
            <w:vAlign w:val="center"/>
          </w:tcPr>
          <w:p w14:paraId="2D827BCE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名称</w:t>
            </w:r>
          </w:p>
        </w:tc>
        <w:tc>
          <w:tcPr>
            <w:tcW w:w="1020" w:type="dxa"/>
            <w:vAlign w:val="center"/>
          </w:tcPr>
          <w:p w14:paraId="4AA9B8A0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数量</w:t>
            </w:r>
          </w:p>
        </w:tc>
        <w:tc>
          <w:tcPr>
            <w:tcW w:w="3397" w:type="dxa"/>
            <w:vAlign w:val="center"/>
          </w:tcPr>
          <w:p w14:paraId="7203B2F8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产品要求</w:t>
            </w:r>
          </w:p>
        </w:tc>
        <w:tc>
          <w:tcPr>
            <w:tcW w:w="759" w:type="dxa"/>
            <w:vAlign w:val="center"/>
          </w:tcPr>
          <w:p w14:paraId="1B1D2556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备注</w:t>
            </w:r>
          </w:p>
        </w:tc>
      </w:tr>
      <w:tr w14:paraId="4D7724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89" w:type="dxa"/>
            <w:vAlign w:val="center"/>
          </w:tcPr>
          <w:p w14:paraId="25F047CC">
            <w:pPr>
              <w:spacing w:line="3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245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2867F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4点位</w:t>
            </w:r>
            <w:r>
              <w:rPr>
                <w:sz w:val="22"/>
                <w:szCs w:val="22"/>
              </w:rPr>
              <w:t>气体报警控制器</w:t>
            </w:r>
          </w:p>
        </w:tc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3824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3397" w:type="dxa"/>
            <w:vMerge w:val="restart"/>
            <w:vAlign w:val="center"/>
          </w:tcPr>
          <w:p w14:paraId="2C4289A9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ascii="楷体" w:hAnsi="楷体" w:eastAsia="楷体" w:cs="楷体"/>
                <w:szCs w:val="21"/>
              </w:rPr>
              <w:t>产品的设计制造及检验均遵循以下国家标准：</w:t>
            </w:r>
          </w:p>
          <w:p w14:paraId="1BA8E1FF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ascii="楷体" w:hAnsi="楷体" w:eastAsia="楷体" w:cs="楷体"/>
                <w:szCs w:val="21"/>
              </w:rPr>
              <w:t xml:space="preserve"> GB16808-2025《可燃气体报警控制器》</w:t>
            </w:r>
          </w:p>
          <w:p w14:paraId="5012D8D3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</w:p>
        </w:tc>
        <w:tc>
          <w:tcPr>
            <w:tcW w:w="759" w:type="dxa"/>
            <w:vMerge w:val="restart"/>
            <w:vAlign w:val="center"/>
          </w:tcPr>
          <w:p w14:paraId="6C59F4CF">
            <w:pPr>
              <w:spacing w:line="320" w:lineRule="exact"/>
              <w:rPr>
                <w:rFonts w:ascii="宋体" w:hAnsi="宋体" w:cs="宋体"/>
                <w:szCs w:val="21"/>
              </w:rPr>
            </w:pPr>
          </w:p>
        </w:tc>
      </w:tr>
      <w:tr w14:paraId="7A97E3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889" w:type="dxa"/>
            <w:vAlign w:val="center"/>
          </w:tcPr>
          <w:p w14:paraId="4DE68452">
            <w:pPr>
              <w:spacing w:line="3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245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DC00B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9点位</w:t>
            </w:r>
            <w:r>
              <w:rPr>
                <w:sz w:val="22"/>
                <w:szCs w:val="22"/>
              </w:rPr>
              <w:t>气体报警控制器</w:t>
            </w:r>
          </w:p>
        </w:tc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0D8A6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3397" w:type="dxa"/>
            <w:vMerge w:val="continue"/>
            <w:vAlign w:val="center"/>
          </w:tcPr>
          <w:p w14:paraId="239D0786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</w:p>
        </w:tc>
        <w:tc>
          <w:tcPr>
            <w:tcW w:w="759" w:type="dxa"/>
            <w:vMerge w:val="continue"/>
            <w:vAlign w:val="center"/>
          </w:tcPr>
          <w:p w14:paraId="0E873B0D">
            <w:pPr>
              <w:spacing w:line="320" w:lineRule="exact"/>
              <w:rPr>
                <w:rFonts w:ascii="宋体" w:hAnsi="宋体" w:cs="宋体"/>
                <w:szCs w:val="21"/>
              </w:rPr>
            </w:pPr>
          </w:p>
        </w:tc>
      </w:tr>
      <w:tr w14:paraId="3BCE59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889" w:type="dxa"/>
            <w:vAlign w:val="center"/>
          </w:tcPr>
          <w:p w14:paraId="10A54038">
            <w:pPr>
              <w:spacing w:line="3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245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858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16点位</w:t>
            </w:r>
            <w:r>
              <w:rPr>
                <w:sz w:val="22"/>
                <w:szCs w:val="22"/>
              </w:rPr>
              <w:t>气体报警控制器</w:t>
            </w:r>
          </w:p>
        </w:tc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91DBE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3397" w:type="dxa"/>
            <w:vMerge w:val="continue"/>
            <w:vAlign w:val="center"/>
          </w:tcPr>
          <w:p w14:paraId="0B5A9A43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</w:p>
        </w:tc>
        <w:tc>
          <w:tcPr>
            <w:tcW w:w="759" w:type="dxa"/>
            <w:vMerge w:val="continue"/>
            <w:vAlign w:val="center"/>
          </w:tcPr>
          <w:p w14:paraId="73EB9760">
            <w:pPr>
              <w:spacing w:line="320" w:lineRule="exact"/>
              <w:rPr>
                <w:rFonts w:ascii="宋体" w:hAnsi="宋体" w:cs="宋体"/>
                <w:szCs w:val="21"/>
              </w:rPr>
            </w:pPr>
          </w:p>
        </w:tc>
      </w:tr>
      <w:tr w14:paraId="0C785F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889" w:type="dxa"/>
            <w:vAlign w:val="center"/>
          </w:tcPr>
          <w:p w14:paraId="1393B948">
            <w:pPr>
              <w:spacing w:line="3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2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FAEF4">
            <w:pPr>
              <w:widowControl/>
              <w:spacing w:line="320" w:lineRule="exact"/>
              <w:jc w:val="center"/>
              <w:rPr>
                <w:kern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工业及商业用途点型可燃气体探测器（独立式）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4D83F">
            <w:pPr>
              <w:widowControl/>
              <w:spacing w:line="320" w:lineRule="exact"/>
              <w:jc w:val="center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</w:t>
            </w:r>
          </w:p>
        </w:tc>
        <w:tc>
          <w:tcPr>
            <w:tcW w:w="3397" w:type="dxa"/>
            <w:vMerge w:val="restart"/>
            <w:vAlign w:val="center"/>
          </w:tcPr>
          <w:p w14:paraId="47FCB0F4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ascii="楷体" w:hAnsi="楷体" w:eastAsia="楷体" w:cs="楷体"/>
                <w:szCs w:val="21"/>
              </w:rPr>
              <w:t>产品的设计、制造、检定完全符合下列相关国家标准</w:t>
            </w:r>
            <w:r>
              <w:rPr>
                <w:rFonts w:hint="eastAsia" w:ascii="楷体" w:hAnsi="楷体" w:eastAsia="楷体" w:cs="楷体"/>
                <w:szCs w:val="21"/>
              </w:rPr>
              <w:t>：</w:t>
            </w:r>
          </w:p>
          <w:p w14:paraId="75DE5B81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ascii="楷体" w:hAnsi="楷体" w:eastAsia="楷体" w:cs="楷体"/>
                <w:szCs w:val="21"/>
              </w:rPr>
              <w:t>GB15322.1-2019《可燃气体探测器 第一部分：工业及商业用途点型可燃气体探测器》</w:t>
            </w:r>
          </w:p>
          <w:p w14:paraId="0361A76B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</w:p>
        </w:tc>
        <w:tc>
          <w:tcPr>
            <w:tcW w:w="759" w:type="dxa"/>
            <w:vAlign w:val="center"/>
          </w:tcPr>
          <w:p w14:paraId="70EB1C6D">
            <w:pPr>
              <w:spacing w:line="320" w:lineRule="exact"/>
              <w:rPr>
                <w:rFonts w:ascii="宋体" w:hAnsi="宋体" w:cs="宋体"/>
                <w:szCs w:val="21"/>
              </w:rPr>
            </w:pPr>
          </w:p>
        </w:tc>
      </w:tr>
      <w:tr w14:paraId="1C0C09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889" w:type="dxa"/>
            <w:tcBorders>
              <w:bottom w:val="single" w:color="auto" w:sz="4" w:space="0"/>
            </w:tcBorders>
            <w:vAlign w:val="center"/>
          </w:tcPr>
          <w:p w14:paraId="34123C03">
            <w:pPr>
              <w:spacing w:line="3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245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D357B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工业及商业用途点型可燃气体探测器（串联式）</w:t>
            </w:r>
          </w:p>
        </w:tc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99B47">
            <w:pPr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397" w:type="dxa"/>
            <w:vMerge w:val="continue"/>
            <w:vAlign w:val="center"/>
          </w:tcPr>
          <w:p w14:paraId="1437B331">
            <w:pPr>
              <w:spacing w:line="320" w:lineRule="exact"/>
              <w:jc w:val="left"/>
              <w:rPr>
                <w:rFonts w:ascii="楷体" w:hAnsi="楷体" w:eastAsia="楷体" w:cs="楷体"/>
                <w:szCs w:val="21"/>
              </w:rPr>
            </w:pPr>
          </w:p>
        </w:tc>
        <w:tc>
          <w:tcPr>
            <w:tcW w:w="759" w:type="dxa"/>
            <w:vAlign w:val="center"/>
          </w:tcPr>
          <w:p w14:paraId="2404A8C2">
            <w:pPr>
              <w:spacing w:line="320" w:lineRule="exact"/>
              <w:rPr>
                <w:rFonts w:ascii="宋体" w:hAnsi="宋体" w:cs="宋体"/>
                <w:szCs w:val="21"/>
              </w:rPr>
            </w:pPr>
          </w:p>
        </w:tc>
      </w:tr>
    </w:tbl>
    <w:p w14:paraId="41C02009">
      <w:pPr>
        <w:widowControl/>
        <w:spacing w:line="360" w:lineRule="auto"/>
        <w:jc w:val="lef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2、其它要求</w:t>
      </w:r>
    </w:p>
    <w:p w14:paraId="22BEEA05">
      <w:pPr>
        <w:widowControl/>
        <w:spacing w:line="360" w:lineRule="auto"/>
        <w:ind w:firstLine="480" w:firstLineChars="200"/>
        <w:jc w:val="left"/>
        <w:rPr>
          <w:rFonts w:hint="default" w:ascii="宋体" w:hAnsi="宋体" w:eastAsia="宋体"/>
          <w:b/>
          <w:bCs/>
          <w:sz w:val="22"/>
          <w:szCs w:val="22"/>
          <w:lang w:val="en-US" w:eastAsia="zh-CN"/>
        </w:rPr>
      </w:pPr>
      <w:r>
        <w:rPr>
          <w:rFonts w:ascii="宋体" w:hAnsi="宋体"/>
          <w:sz w:val="24"/>
        </w:rPr>
        <w:t>（</w:t>
      </w:r>
      <w:r>
        <w:rPr>
          <w:rFonts w:hint="eastAsia" w:ascii="宋体" w:hAnsi="宋体"/>
          <w:sz w:val="24"/>
        </w:rPr>
        <w:t>1</w:t>
      </w:r>
      <w:r>
        <w:rPr>
          <w:rFonts w:ascii="宋体" w:hAnsi="宋体"/>
          <w:sz w:val="24"/>
        </w:rPr>
        <w:t>）供应商</w:t>
      </w:r>
      <w:r>
        <w:rPr>
          <w:rFonts w:hint="eastAsia" w:ascii="宋体" w:hAnsi="宋体"/>
          <w:sz w:val="24"/>
        </w:rPr>
        <w:t>为</w:t>
      </w:r>
      <w:r>
        <w:rPr>
          <w:rFonts w:ascii="宋体" w:hAnsi="宋体"/>
          <w:sz w:val="24"/>
        </w:rPr>
        <w:t>本项目提供的所有控制器、探测器产品必须经过CCC认证并标注CCC认证标志</w:t>
      </w:r>
      <w:r>
        <w:rPr>
          <w:rFonts w:hint="eastAsia" w:ascii="宋体" w:hAnsi="宋体"/>
          <w:sz w:val="24"/>
        </w:rPr>
        <w:t>。</w:t>
      </w:r>
      <w:bookmarkStart w:id="0" w:name="_GoBack"/>
      <w:r>
        <w:rPr>
          <w:rFonts w:hint="eastAsia" w:ascii="宋体" w:hAnsi="宋体"/>
          <w:b/>
          <w:bCs/>
          <w:color w:val="auto"/>
          <w:sz w:val="22"/>
          <w:szCs w:val="22"/>
          <w:lang w:val="en-US" w:eastAsia="zh-CN"/>
        </w:rPr>
        <w:t>投标时须提供所投产品的CCC认证证书，未提供投标无效。</w:t>
      </w:r>
      <w:bookmarkEnd w:id="0"/>
    </w:p>
    <w:p w14:paraId="0BA40FC6">
      <w:pPr>
        <w:widowControl/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供应商须承诺其为本项目提供的所有产品都符合国家市场监管总局、国家消防救援局等政府部门的相关要求且质保期不得低于三年，质保期内能顺利通过国家市场监管（包括每年计量检定合格）、消防及燃气供应商的检查，相关承诺写入合同。</w:t>
      </w:r>
    </w:p>
    <w:p w14:paraId="56AE3F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CF297B"/>
    <w:rsid w:val="36453517"/>
    <w:rsid w:val="6DC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MS Mincho" w:hAnsi="Calibri" w:eastAsia="宋体" w:cs="Times New Roman"/>
      <w:color w:val="000000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2026-10-28T03:27:00Z</dcterms:created>
  <dc:creator>一秀</dc:creator>
  <cp:lastModifiedBy>一秀</cp:lastModifiedBy>
  <dcterms:modified xsi:type="dcterms:W3CDTF">2026-10-28T03:28:54Z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5B8F62F1FCFA4D3F92B2BCE3737758DD_11</vt:lpwstr>
  </property>
  <property fmtid="{D5CDD505-2E9C-101B-9397-08002B2CF9AE}" pid="4" name="KSOTemplateDocerSaveRecord">
    <vt:lpwstr>eyJoZGlkIjoiNWM3ZTlmNDJlNDA0ZjExYzBmYjlhYjZkMjg5OTgyNTciLCJ1c2VySWQiOiIxMTAwMDQwOTMzIn0=</vt:lpwstr>
  </property>
</Properties>
</file>