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F1419">
      <w:pPr>
        <w:widowControl/>
        <w:jc w:val="center"/>
        <w:rPr>
          <w:b/>
          <w:color w:val="auto"/>
          <w:sz w:val="32"/>
          <w:szCs w:val="32"/>
          <w:highlight w:val="none"/>
        </w:rPr>
      </w:pPr>
      <w:r>
        <w:rPr>
          <w:rFonts w:hint="eastAsia"/>
          <w:b/>
          <w:color w:val="auto"/>
          <w:sz w:val="32"/>
          <w:szCs w:val="32"/>
          <w:highlight w:val="none"/>
        </w:rPr>
        <w:t>第四章 项目（货物或者服务）需求说明</w:t>
      </w:r>
    </w:p>
    <w:p w14:paraId="39B2D488">
      <w:pPr>
        <w:spacing w:line="30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一、项目背景（或概况）：</w:t>
      </w:r>
    </w:p>
    <w:p w14:paraId="1C9029E5">
      <w:pPr>
        <w:spacing w:line="300" w:lineRule="auto"/>
        <w:ind w:firstLine="420" w:firstLineChars="200"/>
        <w:rPr>
          <w:rFonts w:hint="eastAsia" w:ascii="宋体" w:hAnsi="宋体"/>
          <w:color w:val="auto"/>
          <w:szCs w:val="21"/>
          <w:highlight w:val="none"/>
        </w:rPr>
      </w:pPr>
      <w:r>
        <w:rPr>
          <w:rFonts w:ascii="宋体" w:hAnsi="宋体"/>
          <w:color w:val="auto"/>
          <w:szCs w:val="21"/>
          <w:highlight w:val="none"/>
        </w:rPr>
        <w:t>产品是集数字孪生技术与实体四足机器人于一体的智能实训设备，适配教学实训场景，搭载工厂、教室两大虚拟实训环境，支持虚实运动状态同步。设备配备树莓派5主控、8自由度仿生结构与9轴姿态传感器，依托高清视觉模组，实现识别、避障、巡线等智能功能</w:t>
      </w:r>
      <w:r>
        <w:rPr>
          <w:rFonts w:hint="eastAsia" w:ascii="宋体" w:hAnsi="宋体"/>
          <w:color w:val="auto"/>
          <w:szCs w:val="21"/>
          <w:highlight w:val="none"/>
        </w:rPr>
        <w:t>，</w:t>
      </w:r>
      <w:r>
        <w:rPr>
          <w:rFonts w:ascii="宋体" w:hAnsi="宋体"/>
          <w:color w:val="auto"/>
          <w:szCs w:val="21"/>
          <w:highlight w:val="none"/>
        </w:rPr>
        <w:t>可完成各类仿生动作与设备巡检实训。系统内置6项教室专项实训任务，实时显示通信状态、数据化记录实训成果，配套全套教学资料，可帮助学生熟练掌握机器人操控与巡检流程，高效提升实操能力与科创思维。</w:t>
      </w:r>
    </w:p>
    <w:p w14:paraId="61A3EA6A">
      <w:pPr>
        <w:spacing w:line="30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二、货物（标的）采购清单：</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4278"/>
        <w:gridCol w:w="1024"/>
        <w:gridCol w:w="876"/>
        <w:gridCol w:w="1344"/>
      </w:tblGrid>
      <w:tr w14:paraId="37E31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vAlign w:val="center"/>
          </w:tcPr>
          <w:p w14:paraId="6864D57F">
            <w:pPr>
              <w:widowControl/>
              <w:jc w:val="center"/>
              <w:rPr>
                <w:rFonts w:hint="eastAsia" w:ascii="宋体" w:hAnsi="宋体" w:cs="Helvetica"/>
                <w:b/>
                <w:color w:val="auto"/>
                <w:sz w:val="24"/>
                <w:highlight w:val="none"/>
              </w:rPr>
            </w:pPr>
            <w:r>
              <w:rPr>
                <w:rFonts w:hint="eastAsia" w:ascii="宋体" w:hAnsi="宋体" w:cs="Helvetica"/>
                <w:b/>
                <w:color w:val="auto"/>
                <w:sz w:val="24"/>
                <w:highlight w:val="none"/>
              </w:rPr>
              <w:t>序号</w:t>
            </w:r>
          </w:p>
        </w:tc>
        <w:tc>
          <w:tcPr>
            <w:tcW w:w="2511" w:type="pct"/>
            <w:vAlign w:val="center"/>
          </w:tcPr>
          <w:p w14:paraId="7F5F660A">
            <w:pPr>
              <w:widowControl/>
              <w:jc w:val="center"/>
              <w:rPr>
                <w:rFonts w:hint="eastAsia" w:ascii="宋体" w:hAnsi="宋体" w:cs="Helvetica"/>
                <w:b/>
                <w:color w:val="auto"/>
                <w:sz w:val="24"/>
                <w:highlight w:val="none"/>
              </w:rPr>
            </w:pPr>
            <w:r>
              <w:rPr>
                <w:rFonts w:hint="eastAsia" w:ascii="宋体" w:hAnsi="宋体" w:cs="Helvetica"/>
                <w:b/>
                <w:color w:val="auto"/>
                <w:sz w:val="24"/>
                <w:highlight w:val="none"/>
              </w:rPr>
              <w:t>货物名称</w:t>
            </w:r>
          </w:p>
        </w:tc>
        <w:tc>
          <w:tcPr>
            <w:tcW w:w="601" w:type="pct"/>
            <w:vAlign w:val="center"/>
          </w:tcPr>
          <w:p w14:paraId="09DA85F9">
            <w:pPr>
              <w:widowControl/>
              <w:jc w:val="center"/>
              <w:rPr>
                <w:rFonts w:ascii="宋体" w:hAnsi="Calibri"/>
                <w:b/>
                <w:color w:val="auto"/>
                <w:sz w:val="24"/>
                <w:highlight w:val="none"/>
              </w:rPr>
            </w:pPr>
            <w:r>
              <w:rPr>
                <w:rFonts w:hint="eastAsia" w:ascii="Calibri" w:hAnsi="Calibri"/>
                <w:b/>
                <w:color w:val="auto"/>
                <w:sz w:val="24"/>
                <w:highlight w:val="none"/>
              </w:rPr>
              <w:t>数量</w:t>
            </w:r>
          </w:p>
        </w:tc>
        <w:tc>
          <w:tcPr>
            <w:tcW w:w="514" w:type="pct"/>
            <w:vAlign w:val="center"/>
          </w:tcPr>
          <w:p w14:paraId="1F524A25">
            <w:pPr>
              <w:widowControl/>
              <w:jc w:val="center"/>
              <w:rPr>
                <w:rFonts w:ascii="Calibri" w:hAnsi="Calibri"/>
                <w:b/>
                <w:color w:val="auto"/>
                <w:sz w:val="24"/>
                <w:highlight w:val="none"/>
              </w:rPr>
            </w:pPr>
            <w:r>
              <w:rPr>
                <w:rFonts w:hint="eastAsia" w:ascii="Calibri" w:hAnsi="Calibri"/>
                <w:b/>
                <w:color w:val="auto"/>
                <w:sz w:val="24"/>
                <w:highlight w:val="none"/>
              </w:rPr>
              <w:t>单位</w:t>
            </w:r>
          </w:p>
        </w:tc>
        <w:tc>
          <w:tcPr>
            <w:tcW w:w="789" w:type="pct"/>
            <w:vAlign w:val="center"/>
          </w:tcPr>
          <w:p w14:paraId="32F3391F">
            <w:pPr>
              <w:widowControl/>
              <w:jc w:val="center"/>
              <w:rPr>
                <w:rFonts w:ascii="Calibri" w:hAnsi="Calibri"/>
                <w:b/>
                <w:color w:val="auto"/>
                <w:sz w:val="24"/>
                <w:highlight w:val="none"/>
              </w:rPr>
            </w:pPr>
            <w:r>
              <w:rPr>
                <w:rFonts w:hint="eastAsia" w:ascii="Calibri" w:hAnsi="Calibri"/>
                <w:b/>
                <w:color w:val="auto"/>
                <w:sz w:val="24"/>
                <w:highlight w:val="none"/>
              </w:rPr>
              <w:t>是否是核心产品</w:t>
            </w:r>
          </w:p>
        </w:tc>
      </w:tr>
      <w:tr w14:paraId="5C51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1F337F12">
            <w:pPr>
              <w:widowControl/>
              <w:jc w:val="center"/>
              <w:rPr>
                <w:rFonts w:hint="eastAsia" w:ascii="宋体" w:hAnsi="宋体" w:cs="Helvetica"/>
                <w:color w:val="auto"/>
                <w:sz w:val="24"/>
                <w:highlight w:val="none"/>
              </w:rPr>
            </w:pPr>
            <w:r>
              <w:rPr>
                <w:rFonts w:hint="eastAsia" w:ascii="宋体" w:hAnsi="宋体" w:cs="Helvetica"/>
                <w:color w:val="auto"/>
                <w:sz w:val="24"/>
                <w:highlight w:val="none"/>
              </w:rPr>
              <w:t xml:space="preserve"> 1</w:t>
            </w:r>
          </w:p>
        </w:tc>
        <w:tc>
          <w:tcPr>
            <w:tcW w:w="2511" w:type="pct"/>
            <w:vAlign w:val="center"/>
          </w:tcPr>
          <w:p w14:paraId="159EA9B0">
            <w:pPr>
              <w:jc w:val="center"/>
              <w:rPr>
                <w:rFonts w:hint="eastAsia" w:ascii="宋体" w:hAnsi="宋体" w:cs="宋体"/>
                <w:color w:val="auto"/>
                <w:sz w:val="24"/>
                <w:highlight w:val="none"/>
              </w:rPr>
            </w:pPr>
            <w:r>
              <w:rPr>
                <w:rFonts w:ascii="宋体" w:hAnsi="宋体" w:cs="宋体"/>
                <w:color w:val="auto"/>
                <w:sz w:val="24"/>
                <w:highlight w:val="none"/>
              </w:rPr>
              <w:t>ROS四足视觉机器人数字孪生实训系统</w:t>
            </w:r>
          </w:p>
        </w:tc>
        <w:tc>
          <w:tcPr>
            <w:tcW w:w="601" w:type="pct"/>
            <w:vAlign w:val="center"/>
          </w:tcPr>
          <w:p w14:paraId="02E077BE">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514" w:type="pct"/>
            <w:vAlign w:val="center"/>
          </w:tcPr>
          <w:p w14:paraId="785E6D57">
            <w:pPr>
              <w:jc w:val="center"/>
              <w:rPr>
                <w:rFonts w:hint="eastAsia" w:ascii="宋体" w:hAnsi="宋体" w:cs="宋体"/>
                <w:color w:val="auto"/>
                <w:sz w:val="24"/>
                <w:highlight w:val="none"/>
              </w:rPr>
            </w:pPr>
            <w:r>
              <w:rPr>
                <w:rFonts w:hint="eastAsia" w:ascii="宋体" w:hAnsi="宋体" w:cs="宋体"/>
                <w:color w:val="auto"/>
                <w:sz w:val="24"/>
                <w:highlight w:val="none"/>
              </w:rPr>
              <w:t>套</w:t>
            </w:r>
          </w:p>
        </w:tc>
        <w:tc>
          <w:tcPr>
            <w:tcW w:w="789" w:type="pct"/>
            <w:vAlign w:val="center"/>
          </w:tcPr>
          <w:p w14:paraId="5995A116">
            <w:pPr>
              <w:jc w:val="center"/>
              <w:rPr>
                <w:rFonts w:hint="eastAsia" w:ascii="宋体" w:hAnsi="宋体" w:cs="宋体"/>
                <w:color w:val="auto"/>
                <w:sz w:val="24"/>
                <w:highlight w:val="none"/>
              </w:rPr>
            </w:pPr>
            <w:r>
              <w:rPr>
                <w:rFonts w:hint="eastAsia" w:ascii="宋体" w:hAnsi="宋体" w:cs="宋体"/>
                <w:color w:val="auto"/>
                <w:sz w:val="24"/>
                <w:highlight w:val="none"/>
              </w:rPr>
              <w:t>是</w:t>
            </w:r>
          </w:p>
        </w:tc>
      </w:tr>
    </w:tbl>
    <w:p w14:paraId="44170915">
      <w:pPr>
        <w:spacing w:line="30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三、货物技术参数及功能指标：</w:t>
      </w:r>
    </w:p>
    <w:tbl>
      <w:tblPr>
        <w:tblStyle w:val="2"/>
        <w:tblW w:w="51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18"/>
        <w:gridCol w:w="6702"/>
      </w:tblGrid>
      <w:tr w14:paraId="156E5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vAlign w:val="center"/>
          </w:tcPr>
          <w:p w14:paraId="42C4534E">
            <w:pPr>
              <w:widowControl/>
              <w:jc w:val="center"/>
              <w:rPr>
                <w:rFonts w:hint="eastAsia" w:ascii="宋体" w:hAnsi="宋体" w:cs="Helvetica"/>
                <w:b/>
                <w:color w:val="auto"/>
                <w:sz w:val="24"/>
                <w:highlight w:val="none"/>
              </w:rPr>
            </w:pPr>
            <w:r>
              <w:rPr>
                <w:rFonts w:hint="eastAsia" w:ascii="宋体" w:hAnsi="宋体" w:cs="Helvetica"/>
                <w:b/>
                <w:color w:val="auto"/>
                <w:sz w:val="24"/>
                <w:highlight w:val="none"/>
              </w:rPr>
              <w:t>序号</w:t>
            </w:r>
          </w:p>
        </w:tc>
        <w:tc>
          <w:tcPr>
            <w:tcW w:w="809" w:type="pct"/>
            <w:vAlign w:val="center"/>
          </w:tcPr>
          <w:p w14:paraId="00BCA7AA">
            <w:pPr>
              <w:widowControl/>
              <w:jc w:val="center"/>
              <w:rPr>
                <w:rFonts w:hint="eastAsia" w:ascii="宋体" w:hAnsi="宋体" w:cs="Helvetica"/>
                <w:b/>
                <w:color w:val="auto"/>
                <w:sz w:val="24"/>
                <w:highlight w:val="none"/>
              </w:rPr>
            </w:pPr>
            <w:r>
              <w:rPr>
                <w:rFonts w:hint="eastAsia" w:ascii="宋体" w:hAnsi="宋体" w:cs="Helvetica"/>
                <w:b/>
                <w:color w:val="auto"/>
                <w:sz w:val="24"/>
                <w:highlight w:val="none"/>
              </w:rPr>
              <w:t>货物名称</w:t>
            </w:r>
          </w:p>
        </w:tc>
        <w:tc>
          <w:tcPr>
            <w:tcW w:w="3823" w:type="pct"/>
            <w:vAlign w:val="center"/>
          </w:tcPr>
          <w:p w14:paraId="6078CD71">
            <w:pPr>
              <w:widowControl/>
              <w:jc w:val="center"/>
              <w:rPr>
                <w:rFonts w:hint="eastAsia" w:ascii="宋体" w:hAnsi="宋体" w:cs="Helvetica"/>
                <w:b/>
                <w:color w:val="auto"/>
                <w:sz w:val="24"/>
                <w:highlight w:val="none"/>
              </w:rPr>
            </w:pPr>
            <w:r>
              <w:rPr>
                <w:rFonts w:hint="eastAsia" w:ascii="宋体" w:hAnsi="宋体" w:cs="Helvetica"/>
                <w:b/>
                <w:color w:val="auto"/>
                <w:sz w:val="24"/>
                <w:highlight w:val="none"/>
              </w:rPr>
              <w:t>技术参数及功能指标</w:t>
            </w:r>
          </w:p>
        </w:tc>
      </w:tr>
      <w:tr w14:paraId="254D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vAlign w:val="center"/>
          </w:tcPr>
          <w:p w14:paraId="45831B31">
            <w:pPr>
              <w:widowControl/>
              <w:spacing w:line="400" w:lineRule="exact"/>
              <w:ind w:firstLine="240" w:firstLineChars="100"/>
              <w:rPr>
                <w:rFonts w:hint="eastAsia" w:ascii="宋体" w:hAnsi="宋体" w:cs="Helvetica"/>
                <w:color w:val="auto"/>
                <w:sz w:val="24"/>
                <w:highlight w:val="none"/>
              </w:rPr>
            </w:pPr>
            <w:r>
              <w:rPr>
                <w:rFonts w:hint="eastAsia" w:ascii="宋体" w:hAnsi="宋体" w:cs="Helvetica"/>
                <w:color w:val="auto"/>
                <w:sz w:val="24"/>
                <w:highlight w:val="none"/>
              </w:rPr>
              <w:t>1</w:t>
            </w:r>
          </w:p>
        </w:tc>
        <w:tc>
          <w:tcPr>
            <w:tcW w:w="809" w:type="pct"/>
            <w:vAlign w:val="center"/>
          </w:tcPr>
          <w:p w14:paraId="51B703C9">
            <w:pPr>
              <w:spacing w:line="400" w:lineRule="exact"/>
              <w:jc w:val="center"/>
              <w:rPr>
                <w:rFonts w:hint="eastAsia" w:ascii="宋体" w:hAnsi="宋体" w:cs="宋体"/>
                <w:color w:val="auto"/>
                <w:kern w:val="0"/>
                <w:sz w:val="24"/>
                <w:highlight w:val="none"/>
              </w:rPr>
            </w:pPr>
            <w:r>
              <w:rPr>
                <w:rFonts w:ascii="宋体" w:hAnsi="宋体" w:cs="宋体"/>
                <w:color w:val="auto"/>
                <w:sz w:val="24"/>
                <w:highlight w:val="none"/>
              </w:rPr>
              <w:t>ROS四足视觉机器人数字孪生实训系统</w:t>
            </w:r>
          </w:p>
        </w:tc>
        <w:tc>
          <w:tcPr>
            <w:tcW w:w="3823" w:type="pct"/>
            <w:vAlign w:val="center"/>
          </w:tcPr>
          <w:p w14:paraId="75191FD1">
            <w:pPr>
              <w:spacing w:line="420" w:lineRule="exact"/>
              <w:rPr>
                <w:rFonts w:hint="eastAsia" w:ascii="宋体" w:hAnsi="宋体"/>
                <w:color w:val="auto"/>
                <w:sz w:val="24"/>
                <w:highlight w:val="none"/>
              </w:rPr>
            </w:pPr>
            <w:r>
              <w:rPr>
                <w:rFonts w:hint="eastAsia" w:ascii="宋体" w:hAnsi="宋体"/>
                <w:color w:val="auto"/>
                <w:sz w:val="24"/>
                <w:highlight w:val="none"/>
              </w:rPr>
              <w:t>1.模拟工厂、教室等实际场景，提供沉浸式学习体验，学生可以在虚拟环境中进行巡检任务和实训操作，感受真实的工作环境。</w:t>
            </w:r>
          </w:p>
          <w:p w14:paraId="5FE6810C">
            <w:pPr>
              <w:spacing w:line="420" w:lineRule="exact"/>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s="宋体"/>
                <w:color w:val="auto"/>
                <w:kern w:val="0"/>
                <w:sz w:val="24"/>
                <w:highlight w:val="none"/>
              </w:rPr>
              <w:t>▲</w:t>
            </w:r>
            <w:r>
              <w:rPr>
                <w:rFonts w:hint="eastAsia" w:ascii="宋体" w:hAnsi="宋体"/>
                <w:color w:val="auto"/>
                <w:sz w:val="24"/>
                <w:highlight w:val="none"/>
              </w:rPr>
              <w:t>根据任务要求完成巡检任务，如控制柜、机器人、车体、气管等的检查工作，学生可以通过实际操作掌握巡检流程和技巧。</w:t>
            </w:r>
            <w:r>
              <w:rPr>
                <w:rFonts w:hint="eastAsia" w:ascii="宋体" w:hAnsi="宋体" w:cs="宋体"/>
                <w:b/>
                <w:bCs/>
                <w:color w:val="auto"/>
                <w:kern w:val="0"/>
                <w:sz w:val="24"/>
                <w:highlight w:val="none"/>
              </w:rPr>
              <w:t>（需提供截图证明材料，加盖投标人公章）</w:t>
            </w:r>
          </w:p>
          <w:p w14:paraId="28F18765">
            <w:pPr>
              <w:spacing w:line="420" w:lineRule="exact"/>
              <w:rPr>
                <w:rFonts w:hint="eastAsia" w:ascii="宋体" w:hAnsi="宋体"/>
                <w:color w:val="auto"/>
                <w:sz w:val="24"/>
                <w:highlight w:val="none"/>
              </w:rPr>
            </w:pPr>
            <w:r>
              <w:rPr>
                <w:rFonts w:hint="eastAsia" w:ascii="宋体" w:hAnsi="宋体"/>
                <w:color w:val="auto"/>
                <w:sz w:val="24"/>
                <w:highlight w:val="none"/>
              </w:rPr>
              <w:t>3.通过实体手柄控制四足机器人的行走动作及身体姿态，实现精准操控，帮助学生更好地掌握机器人操控技能。</w:t>
            </w:r>
          </w:p>
          <w:p w14:paraId="54E405F5">
            <w:pPr>
              <w:spacing w:line="420" w:lineRule="exact"/>
              <w:rPr>
                <w:rFonts w:hint="eastAsia" w:ascii="宋体" w:hAnsi="宋体"/>
                <w:color w:val="auto"/>
                <w:sz w:val="24"/>
                <w:highlight w:val="none"/>
              </w:rPr>
            </w:pPr>
            <w:r>
              <w:rPr>
                <w:rFonts w:hint="eastAsia" w:ascii="宋体" w:hAnsi="宋体"/>
                <w:color w:val="auto"/>
                <w:sz w:val="24"/>
                <w:highlight w:val="none"/>
              </w:rPr>
              <w:t>4.</w:t>
            </w:r>
            <w:r>
              <w:rPr>
                <w:rFonts w:hint="eastAsia" w:ascii="宋体" w:hAnsi="宋体" w:cs="宋体"/>
                <w:color w:val="auto"/>
                <w:kern w:val="0"/>
                <w:sz w:val="24"/>
                <w:highlight w:val="none"/>
              </w:rPr>
              <w:t>▲</w:t>
            </w:r>
            <w:r>
              <w:rPr>
                <w:rFonts w:hint="eastAsia" w:ascii="宋体" w:hAnsi="宋体"/>
                <w:color w:val="auto"/>
                <w:sz w:val="24"/>
                <w:highlight w:val="none"/>
              </w:rPr>
              <w:t>提供工厂巡检和教室行走两个场景，用户可自由选择，根据学习需求进行不同场景的实践操作，提高学习效果。实现虚拟机器人与实体机器人的运动状态同步。</w:t>
            </w:r>
            <w:r>
              <w:rPr>
                <w:rFonts w:hint="eastAsia" w:ascii="宋体" w:hAnsi="宋体" w:cs="宋体"/>
                <w:b/>
                <w:bCs/>
                <w:color w:val="auto"/>
                <w:kern w:val="0"/>
                <w:sz w:val="24"/>
                <w:highlight w:val="none"/>
              </w:rPr>
              <w:t>（需提供截图证明材料，加盖投标人公章）</w:t>
            </w:r>
          </w:p>
          <w:p w14:paraId="4AC560CB">
            <w:pPr>
              <w:spacing w:line="420" w:lineRule="exact"/>
              <w:rPr>
                <w:rFonts w:hint="eastAsia" w:ascii="宋体" w:hAnsi="宋体"/>
                <w:color w:val="auto"/>
                <w:sz w:val="24"/>
                <w:highlight w:val="none"/>
              </w:rPr>
            </w:pPr>
            <w:r>
              <w:rPr>
                <w:rFonts w:hint="eastAsia" w:ascii="宋体" w:hAnsi="宋体"/>
                <w:color w:val="auto"/>
                <w:sz w:val="24"/>
                <w:highlight w:val="none"/>
              </w:rPr>
              <w:t>5.</w:t>
            </w:r>
            <w:r>
              <w:rPr>
                <w:rFonts w:hint="eastAsia" w:ascii="宋体" w:hAnsi="宋体" w:cs="宋体"/>
                <w:color w:val="auto"/>
                <w:kern w:val="0"/>
                <w:sz w:val="24"/>
                <w:highlight w:val="none"/>
              </w:rPr>
              <w:t>▲</w:t>
            </w:r>
            <w:r>
              <w:rPr>
                <w:rFonts w:hint="eastAsia" w:ascii="宋体" w:hAnsi="宋体"/>
                <w:color w:val="auto"/>
                <w:sz w:val="24"/>
                <w:highlight w:val="none"/>
              </w:rPr>
              <w:t>系统提供实时状态指示，清晰标明当前数字孪生通信连接状态。</w:t>
            </w:r>
            <w:r>
              <w:rPr>
                <w:rFonts w:hint="eastAsia" w:ascii="宋体" w:hAnsi="宋体" w:cs="宋体"/>
                <w:b/>
                <w:bCs/>
                <w:color w:val="auto"/>
                <w:kern w:val="0"/>
                <w:sz w:val="24"/>
                <w:highlight w:val="none"/>
              </w:rPr>
              <w:t>（需提供截图证明材料，加盖投标人公章）</w:t>
            </w:r>
          </w:p>
          <w:p w14:paraId="111F2EF4">
            <w:pPr>
              <w:spacing w:line="420" w:lineRule="exact"/>
              <w:rPr>
                <w:rFonts w:hint="eastAsia" w:ascii="宋体" w:hAnsi="宋体"/>
                <w:color w:val="auto"/>
                <w:sz w:val="24"/>
                <w:highlight w:val="none"/>
              </w:rPr>
            </w:pPr>
            <w:r>
              <w:rPr>
                <w:rFonts w:hint="eastAsia" w:ascii="宋体" w:hAnsi="宋体"/>
                <w:color w:val="auto"/>
                <w:sz w:val="24"/>
                <w:highlight w:val="none"/>
              </w:rPr>
              <w:t>6.</w:t>
            </w:r>
            <w:r>
              <w:rPr>
                <w:rFonts w:hint="eastAsia" w:ascii="宋体" w:hAnsi="宋体" w:cs="仿宋"/>
                <w:color w:val="auto"/>
                <w:sz w:val="24"/>
                <w:highlight w:val="none"/>
              </w:rPr>
              <w:t>●</w:t>
            </w:r>
            <w:r>
              <w:rPr>
                <w:rFonts w:hint="eastAsia" w:ascii="宋体" w:hAnsi="宋体"/>
                <w:color w:val="auto"/>
                <w:sz w:val="24"/>
                <w:highlight w:val="none"/>
              </w:rPr>
              <w:t>教室场景中共有6个实训任务，</w:t>
            </w:r>
          </w:p>
          <w:p w14:paraId="74590CFF">
            <w:pPr>
              <w:spacing w:line="420" w:lineRule="exact"/>
              <w:rPr>
                <w:rFonts w:hint="eastAsia" w:ascii="宋体" w:hAnsi="宋体"/>
                <w:color w:val="auto"/>
                <w:sz w:val="24"/>
                <w:highlight w:val="none"/>
              </w:rPr>
            </w:pPr>
            <w:r>
              <w:rPr>
                <w:rFonts w:hint="eastAsia" w:ascii="宋体" w:hAnsi="宋体"/>
                <w:color w:val="auto"/>
                <w:sz w:val="24"/>
                <w:highlight w:val="none"/>
              </w:rPr>
              <w:t>机器人姿态升高任务；机器人姿态降低任务；机器人正行至指定位置任务；机器人倒行至指定位置任务；机器人左转行走任务；机器人右转行走任务</w:t>
            </w:r>
          </w:p>
          <w:p w14:paraId="175481FC">
            <w:pPr>
              <w:spacing w:line="420" w:lineRule="exact"/>
              <w:rPr>
                <w:rFonts w:hint="eastAsia" w:ascii="宋体" w:hAnsi="宋体"/>
                <w:color w:val="auto"/>
                <w:sz w:val="24"/>
                <w:highlight w:val="none"/>
              </w:rPr>
            </w:pPr>
            <w:r>
              <w:rPr>
                <w:rFonts w:hint="eastAsia" w:ascii="宋体" w:hAnsi="宋体"/>
                <w:color w:val="auto"/>
                <w:sz w:val="24"/>
                <w:highlight w:val="none"/>
              </w:rPr>
              <w:t>学生需要依次完成各个任务，以此锻炼对四足机器人的操作熟练度，系统记录任务完成情况，评估学习效果</w:t>
            </w:r>
            <w:r>
              <w:rPr>
                <w:rFonts w:hint="eastAsia" w:ascii="宋体" w:hAnsi="宋体" w:cs="宋体"/>
                <w:b/>
                <w:bCs/>
                <w:color w:val="auto"/>
                <w:kern w:val="0"/>
                <w:sz w:val="24"/>
                <w:highlight w:val="none"/>
                <w:lang w:bidi="ar"/>
              </w:rPr>
              <w:t>（需提供视频演示）</w:t>
            </w:r>
          </w:p>
          <w:p w14:paraId="200B5107">
            <w:pPr>
              <w:spacing w:line="420" w:lineRule="exact"/>
              <w:rPr>
                <w:rFonts w:hint="eastAsia" w:ascii="宋体" w:hAnsi="宋体"/>
                <w:color w:val="auto"/>
                <w:sz w:val="24"/>
                <w:highlight w:val="none"/>
              </w:rPr>
            </w:pPr>
            <w:r>
              <w:rPr>
                <w:rFonts w:hint="eastAsia" w:ascii="宋体" w:hAnsi="宋体"/>
                <w:color w:val="auto"/>
                <w:sz w:val="24"/>
                <w:highlight w:val="none"/>
              </w:rPr>
              <w:t>7.</w:t>
            </w:r>
            <w:r>
              <w:rPr>
                <w:rFonts w:hint="eastAsia" w:ascii="宋体" w:hAnsi="宋体" w:cs="仿宋"/>
                <w:color w:val="auto"/>
                <w:sz w:val="24"/>
                <w:highlight w:val="none"/>
              </w:rPr>
              <w:t>●</w:t>
            </w:r>
            <w:r>
              <w:rPr>
                <w:rFonts w:hint="eastAsia" w:ascii="宋体" w:hAnsi="宋体"/>
                <w:color w:val="auto"/>
                <w:sz w:val="24"/>
                <w:highlight w:val="none"/>
              </w:rPr>
              <w:t>提供虚拟手柄选项，可对实体机器人进行远程控制，学生可以在没有实体手柄的情况下通过虚拟手柄进行操控练习，提高学习效率</w:t>
            </w:r>
            <w:r>
              <w:rPr>
                <w:rFonts w:hint="eastAsia" w:ascii="宋体" w:hAnsi="宋体" w:cs="宋体"/>
                <w:b/>
                <w:bCs/>
                <w:color w:val="auto"/>
                <w:kern w:val="0"/>
                <w:sz w:val="24"/>
                <w:highlight w:val="none"/>
                <w:lang w:bidi="ar"/>
              </w:rPr>
              <w:t>（需提供视频演示）</w:t>
            </w:r>
          </w:p>
          <w:p w14:paraId="6D30410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8.系统记录用户任务完成情况，以图表或数据形式展示任务完成度，帮助学生了解自己的学习进度和成果，调整学习策略。</w:t>
            </w:r>
          </w:p>
          <w:p w14:paraId="6F3B67F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9.通过亲身参与、操作的学习方式，提高实践能力和创新思维，学生可以在虚拟环境中进行多次尝试和调整，积累实践经验。</w:t>
            </w:r>
          </w:p>
          <w:p w14:paraId="551007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10.系统搭配实体四足机器人：</w:t>
            </w:r>
          </w:p>
          <w:p w14:paraId="63038AC8">
            <w:pPr>
              <w:spacing w:line="420" w:lineRule="exact"/>
              <w:rPr>
                <w:rFonts w:hint="eastAsia" w:ascii="宋体" w:hAnsi="宋体"/>
                <w:color w:val="auto"/>
                <w:sz w:val="24"/>
                <w:highlight w:val="none"/>
              </w:rPr>
            </w:pPr>
            <w:r>
              <w:rPr>
                <w:rFonts w:hint="eastAsia" w:ascii="宋体" w:hAnsi="宋体"/>
                <w:color w:val="auto"/>
                <w:sz w:val="24"/>
                <w:highlight w:val="none"/>
              </w:rPr>
              <w:t>(1)整体机身采用硬质铝合金材质打造，结构强度高，抗摔耐磨</w:t>
            </w:r>
          </w:p>
          <w:p w14:paraId="19EFFC11">
            <w:pPr>
              <w:spacing w:line="420" w:lineRule="exact"/>
              <w:rPr>
                <w:rFonts w:hint="eastAsia" w:ascii="宋体" w:hAnsi="宋体"/>
                <w:color w:val="auto"/>
                <w:sz w:val="24"/>
                <w:highlight w:val="none"/>
              </w:rPr>
            </w:pPr>
            <w:r>
              <w:rPr>
                <w:rFonts w:hint="eastAsia" w:ascii="宋体" w:hAnsi="宋体"/>
                <w:color w:val="auto"/>
                <w:sz w:val="24"/>
                <w:highlight w:val="none"/>
              </w:rPr>
              <w:t>(2)整机外形尺寸不小于220mm×130mm×150mm。</w:t>
            </w:r>
          </w:p>
          <w:p w14:paraId="26A5D0C0">
            <w:pPr>
              <w:spacing w:line="420" w:lineRule="exact"/>
              <w:rPr>
                <w:rFonts w:hint="eastAsia" w:ascii="宋体" w:hAnsi="宋体"/>
                <w:color w:val="auto"/>
                <w:sz w:val="24"/>
                <w:highlight w:val="none"/>
              </w:rPr>
            </w:pPr>
            <w:r>
              <w:rPr>
                <w:rFonts w:hint="eastAsia" w:ascii="宋体" w:hAnsi="宋体"/>
                <w:color w:val="auto"/>
                <w:sz w:val="24"/>
                <w:highlight w:val="none"/>
              </w:rPr>
              <w:t>(3)整机采用 8 自由度运动布局，四足结构设计，可实现多种仿生行走姿态</w:t>
            </w:r>
          </w:p>
          <w:p w14:paraId="42460E8C">
            <w:pPr>
              <w:spacing w:line="420" w:lineRule="exact"/>
              <w:rPr>
                <w:rFonts w:hint="eastAsia" w:ascii="宋体" w:hAnsi="宋体"/>
                <w:color w:val="auto"/>
                <w:sz w:val="24"/>
                <w:highlight w:val="none"/>
              </w:rPr>
            </w:pPr>
            <w:r>
              <w:rPr>
                <w:rFonts w:hint="eastAsia" w:ascii="宋体" w:hAnsi="宋体"/>
                <w:color w:val="auto"/>
                <w:sz w:val="24"/>
                <w:highlight w:val="none"/>
              </w:rPr>
              <w:t>(4)核心主控搭载树莓派 5 开发板，内置四核 64 位 Cortex-A76 处理器，主频不低于2.4GHz</w:t>
            </w:r>
          </w:p>
          <w:p w14:paraId="14A8DE90">
            <w:pPr>
              <w:spacing w:line="420" w:lineRule="exact"/>
              <w:rPr>
                <w:rFonts w:hint="eastAsia" w:ascii="宋体" w:hAnsi="宋体"/>
                <w:color w:val="auto"/>
                <w:sz w:val="24"/>
                <w:highlight w:val="none"/>
              </w:rPr>
            </w:pPr>
            <w:r>
              <w:rPr>
                <w:rFonts w:hint="eastAsia" w:ascii="宋体" w:hAnsi="宋体"/>
                <w:color w:val="auto"/>
                <w:sz w:val="24"/>
                <w:highlight w:val="none"/>
              </w:rPr>
              <w:t>(5)主控配备 VideoCore VII 图形处理器，运行内存不低于8GB LPDDR4X高速内存</w:t>
            </w:r>
          </w:p>
          <w:p w14:paraId="2D6EFBA7">
            <w:pPr>
              <w:spacing w:line="420" w:lineRule="exact"/>
              <w:rPr>
                <w:rFonts w:hint="eastAsia" w:ascii="宋体" w:hAnsi="宋体"/>
                <w:color w:val="auto"/>
                <w:sz w:val="24"/>
                <w:highlight w:val="none"/>
              </w:rPr>
            </w:pPr>
            <w:r>
              <w:rPr>
                <w:rFonts w:hint="eastAsia" w:ascii="宋体" w:hAnsi="宋体"/>
                <w:color w:val="auto"/>
                <w:sz w:val="24"/>
                <w:highlight w:val="none"/>
              </w:rPr>
              <w:t>(6)主控集成千兆以太网接口，内置 2.4G/5G 双频 WiFi 模块以及蓝牙 5.0 通信模块</w:t>
            </w:r>
          </w:p>
          <w:p w14:paraId="15B8F822">
            <w:pPr>
              <w:spacing w:line="420" w:lineRule="exact"/>
              <w:rPr>
                <w:rFonts w:hint="eastAsia" w:ascii="宋体" w:hAnsi="宋体"/>
                <w:color w:val="auto"/>
                <w:sz w:val="24"/>
                <w:highlight w:val="none"/>
              </w:rPr>
            </w:pPr>
            <w:r>
              <w:rPr>
                <w:rFonts w:hint="eastAsia" w:ascii="宋体" w:hAnsi="宋体"/>
                <w:color w:val="auto"/>
                <w:sz w:val="24"/>
                <w:highlight w:val="none"/>
              </w:rPr>
              <w:t>(7)主控自带多组 USB 接口、高清视频输出接口，预留充足硬件扩展接口</w:t>
            </w:r>
          </w:p>
          <w:p w14:paraId="7413E83F">
            <w:pPr>
              <w:spacing w:line="420" w:lineRule="exact"/>
              <w:rPr>
                <w:rFonts w:hint="eastAsia" w:ascii="宋体" w:hAnsi="宋体"/>
                <w:color w:val="auto"/>
                <w:sz w:val="24"/>
                <w:highlight w:val="none"/>
              </w:rPr>
            </w:pPr>
            <w:r>
              <w:rPr>
                <w:rFonts w:hint="eastAsia" w:ascii="宋体" w:hAnsi="宋体"/>
                <w:color w:val="auto"/>
                <w:sz w:val="24"/>
                <w:highlight w:val="none"/>
              </w:rPr>
              <w:t>(8)搭载不少于8 台空心杯数码舵机，</w:t>
            </w:r>
          </w:p>
          <w:p w14:paraId="3AC1A60F">
            <w:pPr>
              <w:spacing w:line="420" w:lineRule="exact"/>
              <w:rPr>
                <w:rFonts w:hint="eastAsia" w:ascii="宋体" w:hAnsi="宋体"/>
                <w:color w:val="auto"/>
                <w:sz w:val="24"/>
                <w:highlight w:val="none"/>
              </w:rPr>
            </w:pPr>
            <w:r>
              <w:rPr>
                <w:rFonts w:hint="eastAsia" w:ascii="宋体" w:hAnsi="宋体"/>
                <w:color w:val="auto"/>
                <w:sz w:val="24"/>
                <w:highlight w:val="none"/>
              </w:rPr>
              <w:t>(9)舵机响应速度快，传动稳定，可完成站立、直行、转弯、匍匐、抬腿等全套仿生动作</w:t>
            </w:r>
          </w:p>
          <w:p w14:paraId="320C59F4">
            <w:pPr>
              <w:spacing w:line="420" w:lineRule="exact"/>
              <w:rPr>
                <w:rFonts w:hint="eastAsia" w:ascii="宋体" w:hAnsi="宋体"/>
                <w:color w:val="auto"/>
                <w:sz w:val="24"/>
                <w:highlight w:val="none"/>
              </w:rPr>
            </w:pPr>
            <w:r>
              <w:rPr>
                <w:rFonts w:hint="eastAsia" w:ascii="宋体" w:hAnsi="宋体"/>
                <w:color w:val="auto"/>
                <w:sz w:val="24"/>
                <w:highlight w:val="none"/>
              </w:rPr>
              <w:t>(10)机身内置 9 轴 IMU 姿态检测传感器，可实时采集机身姿态数据，实现自主平衡矫正</w:t>
            </w:r>
          </w:p>
          <w:p w14:paraId="1EE3AA94">
            <w:pPr>
              <w:spacing w:line="420" w:lineRule="exact"/>
              <w:rPr>
                <w:rFonts w:hint="eastAsia" w:ascii="宋体" w:hAnsi="宋体"/>
                <w:color w:val="auto"/>
                <w:sz w:val="24"/>
                <w:highlight w:val="none"/>
              </w:rPr>
            </w:pPr>
            <w:r>
              <w:rPr>
                <w:rFonts w:hint="eastAsia" w:ascii="宋体" w:hAnsi="宋体"/>
                <w:color w:val="auto"/>
                <w:sz w:val="24"/>
                <w:highlight w:val="none"/>
              </w:rPr>
              <w:t>(11)标配广角视觉摄像模组，支持图像采集与实时画面传输</w:t>
            </w:r>
          </w:p>
          <w:p w14:paraId="1F13A771">
            <w:pPr>
              <w:spacing w:line="420" w:lineRule="exact"/>
              <w:rPr>
                <w:rFonts w:hint="eastAsia" w:ascii="宋体" w:hAnsi="宋体"/>
                <w:color w:val="auto"/>
                <w:sz w:val="24"/>
                <w:highlight w:val="none"/>
              </w:rPr>
            </w:pPr>
            <w:r>
              <w:rPr>
                <w:rFonts w:hint="eastAsia" w:ascii="宋体" w:hAnsi="宋体"/>
                <w:color w:val="auto"/>
                <w:sz w:val="24"/>
                <w:highlight w:val="none"/>
              </w:rPr>
              <w:t>(12)设备支持颜色识别、二维码标签识别、目标跟随、智能巡线、环境自主避障等视觉功能</w:t>
            </w:r>
          </w:p>
          <w:p w14:paraId="500B4BF4">
            <w:pPr>
              <w:spacing w:line="420" w:lineRule="exact"/>
              <w:rPr>
                <w:rFonts w:hint="eastAsia" w:ascii="宋体" w:hAnsi="宋体"/>
                <w:color w:val="auto"/>
                <w:sz w:val="24"/>
                <w:highlight w:val="none"/>
              </w:rPr>
            </w:pPr>
            <w:r>
              <w:rPr>
                <w:rFonts w:hint="eastAsia" w:ascii="宋体" w:hAnsi="宋体"/>
                <w:color w:val="auto"/>
                <w:sz w:val="24"/>
                <w:highlight w:val="none"/>
              </w:rPr>
              <w:t>(13)设备适配7.4V规格动力锂电池，电池额定容量不小于2200mAh</w:t>
            </w:r>
          </w:p>
          <w:p w14:paraId="5C6DA86E">
            <w:pPr>
              <w:spacing w:line="420" w:lineRule="exact"/>
              <w:rPr>
                <w:rFonts w:hint="eastAsia" w:ascii="宋体" w:hAnsi="宋体"/>
                <w:color w:val="auto"/>
                <w:sz w:val="24"/>
                <w:highlight w:val="none"/>
              </w:rPr>
            </w:pPr>
            <w:r>
              <w:rPr>
                <w:rFonts w:hint="eastAsia" w:ascii="宋体" w:hAnsi="宋体"/>
                <w:color w:val="auto"/>
                <w:sz w:val="24"/>
                <w:highlight w:val="none"/>
              </w:rPr>
              <w:t>(14)支持PS2无线手柄实体遥控操控，操控距离远，操作简单直观</w:t>
            </w:r>
          </w:p>
          <w:p w14:paraId="75E3672A">
            <w:pPr>
              <w:spacing w:line="420" w:lineRule="exact"/>
              <w:rPr>
                <w:rFonts w:hint="eastAsia" w:ascii="宋体" w:hAnsi="宋体"/>
                <w:color w:val="auto"/>
                <w:sz w:val="24"/>
                <w:highlight w:val="none"/>
              </w:rPr>
            </w:pPr>
            <w:r>
              <w:rPr>
                <w:rFonts w:hint="eastAsia" w:ascii="宋体" w:hAnsi="宋体"/>
                <w:color w:val="auto"/>
                <w:sz w:val="24"/>
                <w:highlight w:val="none"/>
              </w:rPr>
              <w:t>(15)支持手机端专用 APP 无线连接控制，移动端便捷调试运行</w:t>
            </w:r>
          </w:p>
          <w:p w14:paraId="2FF9A2FB">
            <w:pPr>
              <w:spacing w:line="420" w:lineRule="exact"/>
              <w:rPr>
                <w:rFonts w:hint="eastAsia" w:ascii="宋体" w:hAnsi="宋体"/>
                <w:color w:val="auto"/>
                <w:sz w:val="24"/>
                <w:highlight w:val="none"/>
              </w:rPr>
            </w:pPr>
            <w:r>
              <w:rPr>
                <w:rFonts w:hint="eastAsia" w:ascii="宋体" w:hAnsi="宋体"/>
                <w:color w:val="auto"/>
                <w:sz w:val="24"/>
                <w:highlight w:val="none"/>
              </w:rPr>
              <w:t>(16)支持电脑上位机有线无线连接，可进行程序烧录、参数调试、功能调试</w:t>
            </w:r>
          </w:p>
          <w:p w14:paraId="16EE403E">
            <w:pPr>
              <w:spacing w:line="420" w:lineRule="exact"/>
              <w:rPr>
                <w:rFonts w:hint="eastAsia" w:ascii="宋体" w:hAnsi="宋体"/>
                <w:color w:val="auto"/>
                <w:sz w:val="24"/>
                <w:highlight w:val="none"/>
              </w:rPr>
            </w:pPr>
            <w:r>
              <w:rPr>
                <w:rFonts w:hint="eastAsia" w:ascii="宋体" w:hAnsi="宋体"/>
                <w:color w:val="auto"/>
                <w:sz w:val="24"/>
                <w:highlight w:val="none"/>
              </w:rPr>
              <w:t>(17)预留扩展接口，可外接激光雷达、语音识别模块、小型机械臂等拓展外设</w:t>
            </w:r>
          </w:p>
          <w:p w14:paraId="4D2341D2">
            <w:pPr>
              <w:spacing w:line="420" w:lineRule="exact"/>
              <w:rPr>
                <w:rFonts w:hint="eastAsia" w:ascii="宋体" w:hAnsi="宋体"/>
                <w:color w:val="auto"/>
                <w:sz w:val="24"/>
                <w:highlight w:val="none"/>
              </w:rPr>
            </w:pPr>
            <w:r>
              <w:rPr>
                <w:rFonts w:hint="eastAsia" w:ascii="宋体" w:hAnsi="宋体"/>
                <w:color w:val="auto"/>
                <w:sz w:val="24"/>
                <w:highlight w:val="none"/>
              </w:rPr>
              <w:t>(18)实体机器人包含四足机器人整机、专用动力锂电池、无线操控手柄、专用供电适配器、机械臂、激光雷达等配套硬件。</w:t>
            </w:r>
          </w:p>
          <w:p w14:paraId="5CA0F113">
            <w:pPr>
              <w:spacing w:line="420" w:lineRule="exact"/>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s="宋体"/>
                <w:color w:val="auto"/>
                <w:kern w:val="0"/>
                <w:sz w:val="24"/>
                <w:highlight w:val="none"/>
              </w:rPr>
              <w:t>▲</w:t>
            </w:r>
            <w:r>
              <w:rPr>
                <w:rFonts w:hint="eastAsia" w:ascii="宋体" w:hAnsi="宋体"/>
                <w:color w:val="auto"/>
                <w:sz w:val="24"/>
                <w:highlight w:val="none"/>
              </w:rPr>
              <w:t>配套提供全套电子版使用教程、环境搭建教程、实操案例资料与二次开发文档</w:t>
            </w:r>
            <w:r>
              <w:rPr>
                <w:rFonts w:hint="eastAsia" w:ascii="宋体" w:hAnsi="宋体" w:cs="宋体"/>
                <w:b/>
                <w:bCs/>
                <w:color w:val="auto"/>
                <w:kern w:val="0"/>
                <w:sz w:val="24"/>
                <w:highlight w:val="none"/>
              </w:rPr>
              <w:t>（需提供截图证明材料，加盖投标人公章）</w:t>
            </w:r>
          </w:p>
        </w:tc>
      </w:tr>
    </w:tbl>
    <w:p w14:paraId="22816BF1">
      <w:pPr>
        <w:spacing w:line="300" w:lineRule="auto"/>
        <w:ind w:firstLine="420" w:firstLineChars="200"/>
        <w:rPr>
          <w:rFonts w:hint="eastAsia" w:ascii="宋体" w:hAnsi="宋体"/>
          <w:color w:val="auto"/>
          <w:szCs w:val="21"/>
          <w:highlight w:val="none"/>
        </w:rPr>
      </w:pPr>
    </w:p>
    <w:p w14:paraId="5A16D484">
      <w:pPr>
        <w:spacing w:line="300" w:lineRule="auto"/>
        <w:ind w:firstLine="480" w:firstLineChars="200"/>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四、商务要求</w:t>
      </w:r>
    </w:p>
    <w:tbl>
      <w:tblPr>
        <w:tblStyle w:val="2"/>
        <w:tblpPr w:leftFromText="180" w:rightFromText="180" w:vertAnchor="text" w:horzAnchor="page" w:tblpX="2277" w:tblpY="166"/>
        <w:tblOverlap w:val="never"/>
        <w:tblW w:w="8372"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301"/>
      </w:tblGrid>
      <w:tr w14:paraId="0215B67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8E3AF3C">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质保期</w:t>
            </w:r>
          </w:p>
        </w:tc>
        <w:tc>
          <w:tcPr>
            <w:tcW w:w="630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1C65E20">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hint="eastAsia" w:asciiTheme="minorEastAsia" w:hAnsiTheme="minorEastAsia"/>
                <w:color w:val="auto"/>
                <w:szCs w:val="21"/>
                <w:highlight w:val="none"/>
              </w:rPr>
              <w:t>质保期自验收合格之日起1年</w:t>
            </w:r>
          </w:p>
        </w:tc>
      </w:tr>
      <w:tr w14:paraId="2EE334D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6068A1E">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售后技术服务要求</w:t>
            </w:r>
          </w:p>
        </w:tc>
        <w:tc>
          <w:tcPr>
            <w:tcW w:w="630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3ED56ED">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含安装、调试、维修、保养、人员培训等</w:t>
            </w:r>
            <w:r>
              <w:rPr>
                <w:rFonts w:hint="eastAsia" w:ascii="宋体" w:hAnsi="宋体"/>
                <w:color w:val="auto"/>
                <w:szCs w:val="21"/>
                <w:highlight w:val="none"/>
                <w:shd w:val="clear" w:color="auto" w:fill="FFFFFF"/>
              </w:rPr>
              <w:t>。本项目软件产品涉及到开发优化修改的要求中标方工作人员进校驻场进行直至完成，产生的差旅费由投标人自行承担。</w:t>
            </w:r>
          </w:p>
          <w:p w14:paraId="132C8B28">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hint="eastAsia" w:ascii="宋体" w:hAnsi="宋体"/>
                <w:color w:val="auto"/>
                <w:szCs w:val="21"/>
                <w:highlight w:val="none"/>
                <w:shd w:val="clear" w:color="auto" w:fill="FFFFFF"/>
              </w:rPr>
              <w:t>为保障采购人权益，投标人需在合同生效后一年内，根据学生教学需求等提供不少于20次现场培训，培训过程中投标人产生的差旅费由投标人自行承担。</w:t>
            </w:r>
          </w:p>
        </w:tc>
      </w:tr>
      <w:tr w14:paraId="63C0BAF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D6E84CD">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交货时间</w:t>
            </w:r>
          </w:p>
        </w:tc>
        <w:tc>
          <w:tcPr>
            <w:tcW w:w="630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3E999DD">
            <w:pPr>
              <w:shd w:val="solid" w:color="FFFFFF" w:fill="auto"/>
              <w:autoSpaceDN w:val="0"/>
              <w:snapToGrid w:val="0"/>
              <w:spacing w:after="100" w:afterAutospacing="1"/>
              <w:jc w:val="left"/>
              <w:rPr>
                <w:rFonts w:hint="eastAsia" w:ascii="宋体" w:hAnsi="宋体"/>
                <w:color w:val="auto"/>
                <w:szCs w:val="21"/>
                <w:highlight w:val="none"/>
                <w:shd w:val="clear" w:color="auto" w:fill="FFFFFF"/>
              </w:rPr>
            </w:pPr>
            <w:r>
              <w:rPr>
                <w:rFonts w:hint="eastAsia" w:ascii="宋体" w:hAnsi="宋体" w:cs="宋体"/>
                <w:color w:val="auto"/>
                <w:highlight w:val="none"/>
              </w:rPr>
              <w:t>合同签订生效</w:t>
            </w:r>
            <w:r>
              <w:rPr>
                <w:rFonts w:hint="eastAsia" w:ascii="宋体" w:hAnsi="宋体" w:cs="宋体"/>
                <w:color w:val="auto"/>
                <w:szCs w:val="21"/>
                <w:highlight w:val="none"/>
              </w:rPr>
              <w:t xml:space="preserve">后 </w:t>
            </w:r>
            <w:r>
              <w:rPr>
                <w:rFonts w:hint="eastAsia" w:ascii="宋体" w:hAnsi="宋体" w:cs="宋体"/>
                <w:color w:val="auto"/>
                <w:szCs w:val="21"/>
                <w:highlight w:val="none"/>
                <w:u w:val="single"/>
              </w:rPr>
              <w:t>7日历</w:t>
            </w:r>
            <w:r>
              <w:rPr>
                <w:rFonts w:hint="eastAsia" w:ascii="宋体" w:hAnsi="宋体" w:cs="宋体"/>
                <w:color w:val="auto"/>
                <w:szCs w:val="21"/>
                <w:highlight w:val="none"/>
              </w:rPr>
              <w:t>天内。</w:t>
            </w:r>
            <w:r>
              <w:rPr>
                <w:rFonts w:hint="eastAsia" w:ascii="宋体" w:hAnsi="宋体" w:cs="宋体"/>
                <w:color w:val="auto"/>
                <w:highlight w:val="none"/>
              </w:rPr>
              <w:t>逾期提供货物，每天按合同款总额2‰的额度支付延期交货违约金（具体见第五章合同条款）。</w:t>
            </w:r>
          </w:p>
        </w:tc>
      </w:tr>
      <w:tr w14:paraId="5947235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3D20739">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付款方式</w:t>
            </w:r>
          </w:p>
        </w:tc>
        <w:tc>
          <w:tcPr>
            <w:tcW w:w="630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B6BFFF4">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见</w:t>
            </w:r>
            <w:r>
              <w:rPr>
                <w:rFonts w:hint="eastAsia"/>
                <w:color w:val="auto"/>
                <w:szCs w:val="21"/>
                <w:highlight w:val="none"/>
              </w:rPr>
              <w:t>第五章合同条款</w:t>
            </w:r>
          </w:p>
        </w:tc>
      </w:tr>
      <w:tr w14:paraId="3A85123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9245398">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售后服务保障或维修响应时间要求</w:t>
            </w:r>
          </w:p>
        </w:tc>
        <w:tc>
          <w:tcPr>
            <w:tcW w:w="630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1A7B986">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4 </w:t>
            </w:r>
            <w:r>
              <w:rPr>
                <w:rFonts w:hint="eastAsia" w:ascii="宋体" w:hAnsi="宋体" w:cs="宋体"/>
                <w:color w:val="auto"/>
                <w:szCs w:val="21"/>
                <w:highlight w:val="none"/>
              </w:rPr>
              <w:t>小时内响应甲方的维修要求，</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小时内解决，如超过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小时仍不能解决，由乙方在</w:t>
            </w:r>
            <w:r>
              <w:rPr>
                <w:rFonts w:hint="eastAsia" w:ascii="宋体" w:hAnsi="宋体" w:cs="宋体"/>
                <w:color w:val="auto"/>
                <w:szCs w:val="21"/>
                <w:highlight w:val="none"/>
                <w:u w:val="single"/>
              </w:rPr>
              <w:t xml:space="preserve"> 72 </w:t>
            </w:r>
            <w:r>
              <w:rPr>
                <w:rFonts w:hint="eastAsia" w:ascii="宋体" w:hAnsi="宋体" w:cs="宋体"/>
                <w:color w:val="auto"/>
                <w:szCs w:val="21"/>
                <w:highlight w:val="none"/>
              </w:rPr>
              <w:t>小时内提供性能不低于故障产品的备用产品。</w:t>
            </w:r>
          </w:p>
        </w:tc>
      </w:tr>
    </w:tbl>
    <w:p w14:paraId="1E1874DD">
      <w:pPr>
        <w:spacing w:line="300" w:lineRule="auto"/>
        <w:ind w:firstLine="480" w:firstLineChars="200"/>
        <w:rPr>
          <w:rFonts w:hint="eastAsia" w:ascii="宋体" w:hAnsi="宋体"/>
          <w:color w:val="auto"/>
          <w:sz w:val="24"/>
          <w:highlight w:val="none"/>
        </w:rPr>
      </w:pPr>
    </w:p>
    <w:p w14:paraId="2B48148F">
      <w:pPr>
        <w:spacing w:line="30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五、履约验收要求</w:t>
      </w:r>
    </w:p>
    <w:p w14:paraId="0749765D">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中标人严格按约定时间供货，提供的货物必须符合我国最新颁布的与之相关的技术规范与标准，成品货物的到货验收包括但不限于：品名、品牌、尺码、数量、质量、铭牌、产品外观及外包装完整无破损。</w:t>
      </w:r>
    </w:p>
    <w:p w14:paraId="284E7B0B">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65D323BE">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中标人在交货前应对所有货物初步检查，并列出清单，作为采购人收货验收和使用的技术条件依据，清单应随货物一起交付采购人。</w:t>
      </w:r>
    </w:p>
    <w:p w14:paraId="700F2C8D">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112D1915">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0A27F7D9">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3A5C02AB">
      <w:pPr>
        <w:spacing w:line="30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六、其它要求</w:t>
      </w:r>
    </w:p>
    <w:p w14:paraId="76DF34DB">
      <w:pPr>
        <w:spacing w:line="300" w:lineRule="auto"/>
        <w:ind w:firstLine="480" w:firstLineChars="200"/>
        <w:rPr>
          <w:rFonts w:hint="eastAsia" w:ascii="宋体" w:hAnsi="宋体" w:cs="MS Shell Dlg"/>
          <w:color w:val="auto"/>
          <w:sz w:val="24"/>
          <w:highlight w:val="none"/>
        </w:rPr>
      </w:pPr>
      <w:r>
        <w:rPr>
          <w:rFonts w:hint="eastAsia" w:ascii="宋体" w:hAnsi="宋体" w:cs="MS Shell Dlg"/>
          <w:color w:val="auto"/>
          <w:sz w:val="24"/>
          <w:highlight w:val="none"/>
        </w:rPr>
        <w:t>(1)因不同投标人的设备设计原理未必完全相同，投标人可视自身情况配置设备及附件，但应能充分满足招标人的功能及参数要求。</w:t>
      </w:r>
    </w:p>
    <w:p w14:paraId="6BFBB47C">
      <w:pPr>
        <w:spacing w:line="300" w:lineRule="auto"/>
        <w:ind w:firstLine="480" w:firstLineChars="200"/>
        <w:rPr>
          <w:rFonts w:hint="eastAsia" w:ascii="宋体" w:hAnsi="宋体" w:cs="MS Shell Dlg"/>
          <w:color w:val="auto"/>
          <w:sz w:val="24"/>
          <w:highlight w:val="none"/>
        </w:rPr>
      </w:pPr>
      <w:r>
        <w:rPr>
          <w:rFonts w:hint="eastAsia" w:ascii="宋体" w:hAnsi="宋体" w:cs="MS Shell Dlg"/>
          <w:color w:val="auto"/>
          <w:sz w:val="24"/>
          <w:highlight w:val="none"/>
        </w:rPr>
        <w:t>(2)投标人应保证提供满足招标人正常使用的必要配置及附件而不再需要花费任何额外的费用，即使采购方在制定招标书时要求不够具体。安装后就能正常工作。</w:t>
      </w:r>
    </w:p>
    <w:p w14:paraId="3247EDDC">
      <w:pPr>
        <w:spacing w:line="300" w:lineRule="auto"/>
        <w:ind w:firstLine="480" w:firstLineChars="200"/>
        <w:rPr>
          <w:rFonts w:hint="eastAsia" w:ascii="宋体" w:hAnsi="宋体" w:cs="MS Shell Dlg"/>
          <w:color w:val="auto"/>
          <w:sz w:val="24"/>
          <w:highlight w:val="none"/>
        </w:rPr>
      </w:pPr>
      <w:r>
        <w:rPr>
          <w:rFonts w:hint="eastAsia" w:ascii="宋体" w:hAnsi="宋体" w:cs="MS Shell Dlg"/>
          <w:color w:val="auto"/>
          <w:sz w:val="24"/>
          <w:highlight w:val="none"/>
        </w:rPr>
        <w:t>(3)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w:t>
      </w:r>
    </w:p>
    <w:p w14:paraId="3ED75843">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473794"/>
    <w:rsid w:val="030E6BBE"/>
    <w:rsid w:val="09101BBC"/>
    <w:rsid w:val="091F0E9B"/>
    <w:rsid w:val="09623170"/>
    <w:rsid w:val="17092182"/>
    <w:rsid w:val="1C7B16F4"/>
    <w:rsid w:val="1D6F7A38"/>
    <w:rsid w:val="22315125"/>
    <w:rsid w:val="22463CF8"/>
    <w:rsid w:val="270D3B54"/>
    <w:rsid w:val="28EF7EF7"/>
    <w:rsid w:val="2B0679B7"/>
    <w:rsid w:val="2E5A6C8B"/>
    <w:rsid w:val="31F83B0E"/>
    <w:rsid w:val="32473794"/>
    <w:rsid w:val="33722611"/>
    <w:rsid w:val="38742C06"/>
    <w:rsid w:val="3A296990"/>
    <w:rsid w:val="470615DE"/>
    <w:rsid w:val="4CFB377C"/>
    <w:rsid w:val="52766386"/>
    <w:rsid w:val="607C3374"/>
    <w:rsid w:val="69683078"/>
    <w:rsid w:val="6E0C6685"/>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2026-06-18T08:51:00Z</dcterms:created>
  <dc:creator>WD..</dc:creator>
  <cp:lastModifiedBy>WD..</cp:lastModifiedBy>
  <dcterms:modified xsi:type="dcterms:W3CDTF">2026-06-18T08:53:46Z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652A35D7737C4E08950669728167B2C4_11</vt:lpwstr>
  </property>
  <property fmtid="{D5CDD505-2E9C-101B-9397-08002B2CF9AE}" pid="4" name="KSOTemplateDocerSaveRecord">
    <vt:lpwstr>eyJoZGlkIjoiZWNkMTE4ZjYyNTk1NDdlYjc5MWM1MjYwM2E5YjgyM2YiLCJ1c2VySWQiOiI0MzIxMTkxMDIifQ==</vt:lpwstr>
  </property>
</Properties>
</file>