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46CC470">
      <w:pPr>
        <w:widowControl/>
        <w:adjustRightInd w:val="0"/>
        <w:spacing w:line="500" w:lineRule="exact"/>
        <w:jc w:val="center"/>
        <w:rPr>
          <w:b/>
          <w:sz w:val="32"/>
          <w:szCs w:val="32"/>
        </w:rPr>
      </w:pPr>
      <w:r>
        <w:rPr>
          <w:rFonts w:hint="eastAsia"/>
          <w:b/>
          <w:sz w:val="32"/>
          <w:szCs w:val="32"/>
        </w:rPr>
        <w:t>第四章 项目（货物或者服务）需求说明</w:t>
      </w:r>
    </w:p>
    <w:p w14:paraId="033A5661">
      <w:pPr>
        <w:adjustRightInd w:val="0"/>
        <w:spacing w:line="500" w:lineRule="exact"/>
        <w:ind w:firstLine="480" w:firstLineChars="200"/>
        <w:rPr>
          <w:rFonts w:ascii="宋体" w:hAnsi="宋体"/>
          <w:color w:val="000000"/>
          <w:sz w:val="24"/>
        </w:rPr>
      </w:pPr>
      <w:r>
        <w:rPr>
          <w:rFonts w:hint="eastAsia" w:ascii="宋体" w:hAnsi="宋体"/>
          <w:color w:val="000000"/>
          <w:sz w:val="24"/>
        </w:rPr>
        <w:t>一、项目背景（或概况）：</w:t>
      </w:r>
    </w:p>
    <w:p w14:paraId="14C30E23">
      <w:pPr>
        <w:widowControl/>
        <w:adjustRightInd w:val="0"/>
        <w:spacing w:line="500" w:lineRule="exact"/>
        <w:ind w:firstLine="480" w:firstLineChars="200"/>
        <w:jc w:val="left"/>
        <w:rPr>
          <w:rFonts w:ascii="宋体" w:hAnsi="宋体"/>
          <w:color w:val="000000"/>
          <w:szCs w:val="21"/>
        </w:rPr>
      </w:pPr>
      <w:r>
        <w:rPr>
          <w:rFonts w:ascii="宋体" w:hAnsi="宋体" w:cs="宋体"/>
          <w:kern w:val="0"/>
          <w:sz w:val="24"/>
          <w:lang w:bidi="ar"/>
        </w:rPr>
        <w:t>船舶水动力阻力性能测试是船舶设计优化、性能校核、能效提升的核心关键环节，直接关乎船舶航行的安全性与经济性，是船舶科研研发、实训检测的重要基础条件。</w:t>
      </w:r>
      <w:r>
        <w:rPr>
          <w:rFonts w:hint="eastAsia" w:ascii="宋体" w:hAnsi="宋体" w:cs="宋体"/>
          <w:kern w:val="0"/>
          <w:sz w:val="24"/>
          <w:lang w:bidi="ar"/>
        </w:rPr>
        <w:t>当前</w:t>
      </w:r>
      <w:r>
        <w:rPr>
          <w:rFonts w:ascii="宋体" w:hAnsi="宋体" w:cs="宋体"/>
          <w:kern w:val="0"/>
          <w:sz w:val="24"/>
          <w:lang w:bidi="ar"/>
        </w:rPr>
        <w:t>阻力</w:t>
      </w:r>
      <w:r>
        <w:rPr>
          <w:rFonts w:hint="eastAsia" w:ascii="宋体" w:hAnsi="宋体" w:cs="宋体"/>
          <w:kern w:val="0"/>
          <w:sz w:val="24"/>
          <w:lang w:bidi="ar"/>
        </w:rPr>
        <w:t>测试</w:t>
      </w:r>
      <w:r>
        <w:rPr>
          <w:rFonts w:ascii="宋体" w:hAnsi="宋体" w:cs="宋体"/>
          <w:kern w:val="0"/>
          <w:sz w:val="24"/>
          <w:lang w:bidi="ar"/>
        </w:rPr>
        <w:t>仪缺少配套</w:t>
      </w:r>
      <w:r>
        <w:rPr>
          <w:rFonts w:hint="eastAsia" w:ascii="宋体" w:hAnsi="宋体" w:cs="宋体"/>
          <w:kern w:val="0"/>
          <w:sz w:val="24"/>
          <w:lang w:bidi="ar"/>
        </w:rPr>
        <w:t>的实验平台及</w:t>
      </w:r>
      <w:r>
        <w:rPr>
          <w:rFonts w:ascii="宋体" w:hAnsi="宋体" w:cs="宋体"/>
          <w:kern w:val="0"/>
          <w:sz w:val="24"/>
          <w:lang w:bidi="ar"/>
        </w:rPr>
        <w:t>安全防护设施，难以满足</w:t>
      </w:r>
      <w:r>
        <w:rPr>
          <w:rFonts w:hint="eastAsia" w:ascii="宋体" w:hAnsi="宋体" w:cs="宋体"/>
          <w:kern w:val="0"/>
          <w:sz w:val="24"/>
          <w:lang w:bidi="ar"/>
        </w:rPr>
        <w:t>标准船模阻力实验教学、</w:t>
      </w:r>
      <w:r>
        <w:rPr>
          <w:rFonts w:ascii="宋体" w:hAnsi="宋体" w:cs="宋体"/>
          <w:kern w:val="0"/>
          <w:sz w:val="24"/>
          <w:lang w:bidi="ar"/>
        </w:rPr>
        <w:t>新型船舶模型试验的规范标准</w:t>
      </w:r>
      <w:r>
        <w:rPr>
          <w:rFonts w:hint="eastAsia" w:ascii="宋体" w:hAnsi="宋体" w:cs="宋体"/>
          <w:kern w:val="0"/>
          <w:sz w:val="24"/>
          <w:lang w:bidi="ar"/>
        </w:rPr>
        <w:t>。</w:t>
      </w:r>
      <w:r>
        <w:rPr>
          <w:rFonts w:ascii="宋体" w:hAnsi="宋体" w:cs="宋体"/>
          <w:kern w:val="0"/>
          <w:sz w:val="24"/>
          <w:lang w:bidi="ar"/>
        </w:rPr>
        <w:t>为补齐设备短板、消除安全隐患，本次项目依托现有船舶阻力仪设备进行增设改造，配套加装</w:t>
      </w:r>
      <w:r>
        <w:rPr>
          <w:rFonts w:hint="eastAsia" w:ascii="宋体" w:hAnsi="宋体" w:cs="宋体"/>
          <w:kern w:val="0"/>
          <w:sz w:val="24"/>
          <w:lang w:bidi="ar"/>
        </w:rPr>
        <w:t>标准船模</w:t>
      </w:r>
      <w:r>
        <w:rPr>
          <w:rFonts w:hint="eastAsia" w:ascii="宋体" w:hAnsi="宋体" w:cs="宋体"/>
          <w:sz w:val="24"/>
        </w:rPr>
        <w:t>阻力测试</w:t>
      </w:r>
      <w:r>
        <w:rPr>
          <w:rFonts w:hint="eastAsia" w:ascii="宋体" w:hAnsi="宋体" w:cs="宋体"/>
          <w:kern w:val="0"/>
          <w:sz w:val="24"/>
          <w:lang w:bidi="ar"/>
        </w:rPr>
        <w:t>实验平台及</w:t>
      </w:r>
      <w:r>
        <w:rPr>
          <w:rFonts w:ascii="宋体" w:hAnsi="宋体" w:cs="宋体"/>
          <w:kern w:val="0"/>
          <w:sz w:val="24"/>
          <w:lang w:bidi="ar"/>
        </w:rPr>
        <w:t>安全防护设施，全面提升设备测试精度</w:t>
      </w:r>
      <w:r>
        <w:rPr>
          <w:rFonts w:hint="eastAsia" w:ascii="宋体" w:hAnsi="宋体" w:cs="宋体"/>
          <w:kern w:val="0"/>
          <w:sz w:val="24"/>
          <w:lang w:bidi="ar"/>
        </w:rPr>
        <w:t>与</w:t>
      </w:r>
      <w:r>
        <w:rPr>
          <w:rFonts w:ascii="宋体" w:hAnsi="宋体" w:cs="宋体"/>
          <w:kern w:val="0"/>
          <w:sz w:val="24"/>
          <w:lang w:bidi="ar"/>
        </w:rPr>
        <w:t>运行稳定性，构建规范、安全、高效的试验环境，为船舶水动力性能研究、装备研发及专业人才实训提供坚实硬件支撑。</w:t>
      </w:r>
    </w:p>
    <w:p w14:paraId="2DE124B7">
      <w:pPr>
        <w:adjustRightInd w:val="0"/>
        <w:spacing w:line="500" w:lineRule="exact"/>
        <w:ind w:firstLine="480" w:firstLineChars="200"/>
        <w:rPr>
          <w:rFonts w:ascii="宋体" w:hAnsi="宋体"/>
          <w:color w:val="000000"/>
          <w:sz w:val="24"/>
        </w:rPr>
      </w:pPr>
      <w:r>
        <w:rPr>
          <w:rFonts w:hint="eastAsia" w:ascii="宋体" w:hAnsi="宋体"/>
          <w:color w:val="000000"/>
          <w:sz w:val="24"/>
        </w:rPr>
        <w:t>二、货物（标的）采购清单：</w:t>
      </w:r>
      <w:r>
        <w:rPr>
          <w:rFonts w:ascii="宋体" w:hAnsi="宋体"/>
          <w:color w:val="000000"/>
          <w:sz w:val="24"/>
        </w:rPr>
        <w:t xml:space="preserve"> </w:t>
      </w:r>
    </w:p>
    <w:tbl>
      <w:tblPr>
        <w:tblStyle w:val="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5"/>
        <w:gridCol w:w="3402"/>
        <w:gridCol w:w="816"/>
        <w:gridCol w:w="885"/>
      </w:tblGrid>
      <w:tr w14:paraId="6FE864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95" w:type="dxa"/>
            <w:vAlign w:val="center"/>
          </w:tcPr>
          <w:p w14:paraId="3DA09F95">
            <w:pPr>
              <w:widowControl/>
              <w:adjustRightInd w:val="0"/>
              <w:spacing w:line="500" w:lineRule="exact"/>
              <w:jc w:val="center"/>
              <w:rPr>
                <w:rFonts w:ascii="宋体" w:hAnsi="宋体" w:cs="Helvetica"/>
                <w:b/>
                <w:sz w:val="24"/>
              </w:rPr>
            </w:pPr>
            <w:r>
              <w:rPr>
                <w:rFonts w:hint="eastAsia" w:ascii="宋体" w:hAnsi="宋体" w:cs="Helvetica"/>
                <w:b/>
                <w:sz w:val="24"/>
              </w:rPr>
              <w:t>序号</w:t>
            </w:r>
          </w:p>
        </w:tc>
        <w:tc>
          <w:tcPr>
            <w:tcW w:w="3402" w:type="dxa"/>
            <w:vAlign w:val="center"/>
          </w:tcPr>
          <w:p w14:paraId="31BEA5D8">
            <w:pPr>
              <w:widowControl/>
              <w:adjustRightInd w:val="0"/>
              <w:spacing w:line="500" w:lineRule="exact"/>
              <w:jc w:val="center"/>
              <w:rPr>
                <w:rFonts w:ascii="宋体" w:hAnsi="宋体" w:cs="Helvetica"/>
                <w:b/>
                <w:sz w:val="24"/>
              </w:rPr>
            </w:pPr>
            <w:r>
              <w:rPr>
                <w:rFonts w:hint="eastAsia" w:ascii="宋体" w:hAnsi="宋体" w:cs="Helvetica"/>
                <w:b/>
                <w:sz w:val="24"/>
              </w:rPr>
              <w:t>货物名称</w:t>
            </w:r>
          </w:p>
        </w:tc>
        <w:tc>
          <w:tcPr>
            <w:tcW w:w="816" w:type="dxa"/>
            <w:vAlign w:val="center"/>
          </w:tcPr>
          <w:p w14:paraId="3828654D">
            <w:pPr>
              <w:widowControl/>
              <w:adjustRightInd w:val="0"/>
              <w:spacing w:line="500" w:lineRule="exact"/>
              <w:jc w:val="center"/>
              <w:rPr>
                <w:rFonts w:ascii="宋体" w:hAnsi="Calibri"/>
                <w:b/>
                <w:sz w:val="24"/>
              </w:rPr>
            </w:pPr>
            <w:r>
              <w:rPr>
                <w:rFonts w:hint="eastAsia" w:ascii="Calibri" w:hAnsi="Calibri"/>
                <w:b/>
                <w:sz w:val="24"/>
              </w:rPr>
              <w:t>数量</w:t>
            </w:r>
          </w:p>
        </w:tc>
        <w:tc>
          <w:tcPr>
            <w:tcW w:w="885" w:type="dxa"/>
            <w:vAlign w:val="center"/>
          </w:tcPr>
          <w:p w14:paraId="77F4B6E3">
            <w:pPr>
              <w:widowControl/>
              <w:adjustRightInd w:val="0"/>
              <w:spacing w:line="500" w:lineRule="exact"/>
              <w:jc w:val="center"/>
              <w:rPr>
                <w:rFonts w:ascii="Calibri" w:hAnsi="Calibri"/>
                <w:b/>
                <w:sz w:val="24"/>
              </w:rPr>
            </w:pPr>
            <w:r>
              <w:rPr>
                <w:rFonts w:hint="eastAsia" w:ascii="Calibri" w:hAnsi="Calibri"/>
                <w:b/>
                <w:sz w:val="24"/>
              </w:rPr>
              <w:t>单位</w:t>
            </w:r>
          </w:p>
        </w:tc>
      </w:tr>
      <w:tr w14:paraId="001FCE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95" w:type="dxa"/>
          </w:tcPr>
          <w:p w14:paraId="10D8EA66">
            <w:pPr>
              <w:widowControl/>
              <w:adjustRightInd w:val="0"/>
              <w:spacing w:line="500" w:lineRule="exact"/>
              <w:jc w:val="center"/>
              <w:rPr>
                <w:rFonts w:ascii="宋体" w:hAnsi="宋体" w:cs="Helvetica"/>
                <w:sz w:val="24"/>
              </w:rPr>
            </w:pPr>
            <w:r>
              <w:rPr>
                <w:rFonts w:hint="eastAsia" w:ascii="宋体" w:hAnsi="宋体" w:cs="Helvetica"/>
                <w:sz w:val="24"/>
              </w:rPr>
              <w:t xml:space="preserve">1 </w:t>
            </w:r>
          </w:p>
        </w:tc>
        <w:tc>
          <w:tcPr>
            <w:tcW w:w="3402" w:type="dxa"/>
            <w:vAlign w:val="center"/>
          </w:tcPr>
          <w:p w14:paraId="02A254EC">
            <w:pPr>
              <w:adjustRightInd w:val="0"/>
              <w:spacing w:line="500" w:lineRule="exact"/>
              <w:rPr>
                <w:rFonts w:ascii="宋体" w:hAnsi="宋体" w:cs="宋体"/>
                <w:sz w:val="24"/>
              </w:rPr>
            </w:pPr>
            <w:r>
              <w:rPr>
                <w:rFonts w:hint="eastAsia" w:ascii="宋体" w:hAnsi="宋体" w:eastAsia="宋体" w:cs="宋体"/>
                <w:sz w:val="24"/>
              </w:rPr>
              <w:t>船舶阻力测试实验平台及安全防护设施安装</w:t>
            </w:r>
          </w:p>
        </w:tc>
        <w:tc>
          <w:tcPr>
            <w:tcW w:w="816" w:type="dxa"/>
            <w:vAlign w:val="center"/>
          </w:tcPr>
          <w:p w14:paraId="63DA2B85">
            <w:pPr>
              <w:adjustRightInd w:val="0"/>
              <w:spacing w:line="500" w:lineRule="exact"/>
              <w:jc w:val="center"/>
              <w:rPr>
                <w:rFonts w:ascii="宋体" w:hAnsi="宋体" w:cs="宋体"/>
                <w:sz w:val="24"/>
              </w:rPr>
            </w:pPr>
            <w:r>
              <w:rPr>
                <w:rFonts w:hint="eastAsia" w:ascii="宋体" w:hAnsi="宋体" w:cs="宋体"/>
                <w:sz w:val="24"/>
              </w:rPr>
              <w:t>1</w:t>
            </w:r>
          </w:p>
        </w:tc>
        <w:tc>
          <w:tcPr>
            <w:tcW w:w="885" w:type="dxa"/>
            <w:vAlign w:val="center"/>
          </w:tcPr>
          <w:p w14:paraId="1ED95261">
            <w:pPr>
              <w:adjustRightInd w:val="0"/>
              <w:spacing w:line="500" w:lineRule="exact"/>
              <w:jc w:val="center"/>
              <w:rPr>
                <w:rFonts w:ascii="宋体" w:hAnsi="宋体" w:cs="宋体"/>
                <w:sz w:val="24"/>
              </w:rPr>
            </w:pPr>
            <w:r>
              <w:rPr>
                <w:rFonts w:hint="eastAsia" w:ascii="宋体" w:hAnsi="宋体" w:cs="宋体"/>
                <w:sz w:val="24"/>
              </w:rPr>
              <w:t>套</w:t>
            </w:r>
          </w:p>
        </w:tc>
      </w:tr>
    </w:tbl>
    <w:p w14:paraId="34901445">
      <w:pPr>
        <w:adjustRightInd w:val="0"/>
        <w:spacing w:line="500" w:lineRule="exact"/>
        <w:ind w:firstLine="420" w:firstLineChars="200"/>
        <w:rPr>
          <w:rFonts w:ascii="宋体" w:hAnsi="宋体"/>
          <w:color w:val="000000"/>
          <w:szCs w:val="21"/>
        </w:rPr>
      </w:pPr>
    </w:p>
    <w:p w14:paraId="4EF9D77C">
      <w:pPr>
        <w:adjustRightInd w:val="0"/>
        <w:spacing w:line="500" w:lineRule="exact"/>
        <w:ind w:firstLine="480" w:firstLineChars="200"/>
        <w:rPr>
          <w:rFonts w:ascii="宋体" w:hAnsi="宋体"/>
          <w:color w:val="000000"/>
          <w:szCs w:val="21"/>
        </w:rPr>
      </w:pPr>
      <w:r>
        <w:rPr>
          <w:rFonts w:hint="eastAsia" w:ascii="宋体" w:hAnsi="宋体"/>
          <w:color w:val="000000"/>
          <w:sz w:val="24"/>
        </w:rPr>
        <w:t>三、货物技术参数及功能指标：</w:t>
      </w:r>
    </w:p>
    <w:tbl>
      <w:tblPr>
        <w:tblStyle w:val="4"/>
        <w:tblW w:w="84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8"/>
        <w:gridCol w:w="1545"/>
        <w:gridCol w:w="6224"/>
      </w:tblGrid>
      <w:tr w14:paraId="7627F5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8" w:type="dxa"/>
            <w:vAlign w:val="center"/>
          </w:tcPr>
          <w:p w14:paraId="5206BF75">
            <w:pPr>
              <w:widowControl/>
              <w:adjustRightInd w:val="0"/>
              <w:spacing w:line="500" w:lineRule="exact"/>
              <w:jc w:val="center"/>
              <w:rPr>
                <w:rFonts w:ascii="宋体" w:hAnsi="宋体" w:cs="Helvetica"/>
                <w:b/>
                <w:sz w:val="24"/>
              </w:rPr>
            </w:pPr>
            <w:r>
              <w:rPr>
                <w:rFonts w:hint="eastAsia" w:ascii="宋体" w:hAnsi="宋体" w:cs="Helvetica"/>
                <w:b/>
                <w:sz w:val="24"/>
              </w:rPr>
              <w:t>序号</w:t>
            </w:r>
          </w:p>
        </w:tc>
        <w:tc>
          <w:tcPr>
            <w:tcW w:w="1545" w:type="dxa"/>
            <w:vAlign w:val="center"/>
          </w:tcPr>
          <w:p w14:paraId="3EAB9C33">
            <w:pPr>
              <w:widowControl/>
              <w:adjustRightInd w:val="0"/>
              <w:spacing w:line="500" w:lineRule="exact"/>
              <w:jc w:val="center"/>
              <w:rPr>
                <w:rFonts w:ascii="宋体" w:hAnsi="宋体" w:cs="Helvetica"/>
                <w:b/>
                <w:sz w:val="24"/>
              </w:rPr>
            </w:pPr>
            <w:r>
              <w:rPr>
                <w:rFonts w:hint="eastAsia" w:ascii="宋体" w:hAnsi="宋体" w:cs="Helvetica"/>
                <w:b/>
                <w:sz w:val="24"/>
              </w:rPr>
              <w:t>货物名称</w:t>
            </w:r>
          </w:p>
        </w:tc>
        <w:tc>
          <w:tcPr>
            <w:tcW w:w="6224" w:type="dxa"/>
            <w:vAlign w:val="center"/>
          </w:tcPr>
          <w:p w14:paraId="0DEF7442">
            <w:pPr>
              <w:widowControl/>
              <w:adjustRightInd w:val="0"/>
              <w:spacing w:line="500" w:lineRule="exact"/>
              <w:jc w:val="center"/>
              <w:rPr>
                <w:rFonts w:ascii="宋体" w:hAnsi="宋体" w:cs="Helvetica"/>
                <w:b/>
                <w:sz w:val="24"/>
              </w:rPr>
            </w:pPr>
            <w:r>
              <w:rPr>
                <w:rFonts w:hint="eastAsia" w:ascii="宋体" w:hAnsi="宋体" w:cs="Helvetica"/>
                <w:b/>
                <w:sz w:val="24"/>
              </w:rPr>
              <w:t>技术参数及功能指标</w:t>
            </w:r>
          </w:p>
        </w:tc>
      </w:tr>
      <w:tr w14:paraId="26696B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29" w:hRule="atLeast"/>
          <w:jc w:val="center"/>
        </w:trPr>
        <w:tc>
          <w:tcPr>
            <w:tcW w:w="708" w:type="dxa"/>
            <w:shd w:val="clear" w:color="auto" w:fill="auto"/>
            <w:vAlign w:val="center"/>
          </w:tcPr>
          <w:p w14:paraId="2ED229A4">
            <w:pPr>
              <w:widowControl/>
              <w:adjustRightInd w:val="0"/>
              <w:spacing w:line="500" w:lineRule="exact"/>
              <w:jc w:val="center"/>
              <w:rPr>
                <w:rFonts w:ascii="宋体" w:hAnsi="宋体" w:cs="Helvetica"/>
                <w:sz w:val="24"/>
              </w:rPr>
            </w:pPr>
            <w:r>
              <w:rPr>
                <w:rFonts w:hint="eastAsia" w:ascii="宋体" w:hAnsi="宋体" w:cs="Helvetica"/>
                <w:sz w:val="24"/>
              </w:rPr>
              <w:t>1</w:t>
            </w:r>
          </w:p>
        </w:tc>
        <w:tc>
          <w:tcPr>
            <w:tcW w:w="1545" w:type="dxa"/>
            <w:shd w:val="clear" w:color="auto" w:fill="auto"/>
            <w:vAlign w:val="center"/>
          </w:tcPr>
          <w:p w14:paraId="4CDA3014">
            <w:pPr>
              <w:adjustRightInd w:val="0"/>
              <w:spacing w:line="500" w:lineRule="exact"/>
              <w:jc w:val="center"/>
              <w:rPr>
                <w:rFonts w:ascii="宋体" w:hAnsi="宋体" w:cs="宋体"/>
                <w:kern w:val="0"/>
                <w:sz w:val="24"/>
              </w:rPr>
            </w:pPr>
            <w:r>
              <w:rPr>
                <w:rFonts w:hint="eastAsia" w:ascii="宋体" w:hAnsi="宋体" w:cs="宋体"/>
                <w:kern w:val="0"/>
                <w:sz w:val="24"/>
              </w:rPr>
              <w:t>船舶阻力测试实验平台及安全防护设施安装</w:t>
            </w:r>
          </w:p>
        </w:tc>
        <w:tc>
          <w:tcPr>
            <w:tcW w:w="6224" w:type="dxa"/>
            <w:shd w:val="clear" w:color="auto" w:fill="auto"/>
            <w:vAlign w:val="center"/>
          </w:tcPr>
          <w:p w14:paraId="6668D28F">
            <w:pPr>
              <w:adjustRightInd w:val="0"/>
              <w:spacing w:line="500" w:lineRule="exact"/>
              <w:rPr>
                <w:rFonts w:hint="eastAsia" w:ascii="宋体" w:hAnsi="宋体" w:eastAsia="宋体" w:cs="宋体"/>
                <w:color w:val="000000"/>
                <w:sz w:val="24"/>
              </w:rPr>
            </w:pPr>
            <w:r>
              <w:rPr>
                <w:rFonts w:hint="eastAsia" w:ascii="宋体" w:hAnsi="宋体" w:eastAsia="宋体" w:cs="宋体"/>
                <w:color w:val="000000"/>
                <w:sz w:val="24"/>
                <w:lang w:eastAsia="zh-CN"/>
              </w:rPr>
              <w:t>（</w:t>
            </w:r>
            <w:r>
              <w:rPr>
                <w:rFonts w:hint="eastAsia" w:ascii="宋体" w:hAnsi="宋体" w:eastAsia="宋体" w:cs="宋体"/>
                <w:color w:val="000000"/>
                <w:sz w:val="24"/>
                <w:lang w:val="en-US" w:eastAsia="zh-CN"/>
              </w:rPr>
              <w:t>1</w:t>
            </w:r>
            <w:r>
              <w:rPr>
                <w:rFonts w:hint="eastAsia" w:ascii="宋体" w:hAnsi="宋体" w:eastAsia="宋体" w:cs="宋体"/>
                <w:color w:val="000000"/>
                <w:sz w:val="24"/>
                <w:lang w:eastAsia="zh-CN"/>
              </w:rPr>
              <w:t>）</w:t>
            </w:r>
            <w:r>
              <w:rPr>
                <w:rFonts w:hint="eastAsia" w:ascii="宋体" w:hAnsi="宋体" w:eastAsia="宋体" w:cs="宋体"/>
                <w:color w:val="000000"/>
                <w:sz w:val="24"/>
              </w:rPr>
              <w:t>KCS 标准实验船模1 套</w:t>
            </w:r>
          </w:p>
          <w:p w14:paraId="14E8011A">
            <w:pPr>
              <w:adjustRightInd w:val="0"/>
              <w:spacing w:line="500" w:lineRule="exact"/>
              <w:ind w:firstLine="480" w:firstLineChars="200"/>
              <w:rPr>
                <w:rFonts w:hint="eastAsia" w:ascii="宋体" w:hAnsi="宋体" w:eastAsia="宋体" w:cs="宋体"/>
                <w:color w:val="000000"/>
                <w:sz w:val="24"/>
              </w:rPr>
            </w:pPr>
            <w:r>
              <w:rPr>
                <w:rFonts w:hint="eastAsia" w:ascii="宋体" w:hAnsi="宋体" w:eastAsia="宋体" w:cs="宋体"/>
                <w:color w:val="000000"/>
                <w:sz w:val="24"/>
              </w:rPr>
              <w:t>▲缩尺比：1:80，垂线间长Lpp=2.875m；</w:t>
            </w:r>
          </w:p>
          <w:p w14:paraId="666EE431">
            <w:pPr>
              <w:adjustRightInd w:val="0"/>
              <w:spacing w:line="500" w:lineRule="exact"/>
              <w:ind w:firstLine="480" w:firstLineChars="200"/>
              <w:rPr>
                <w:rFonts w:hint="eastAsia" w:ascii="宋体" w:hAnsi="宋体" w:eastAsia="宋体" w:cs="宋体"/>
                <w:color w:val="000000"/>
                <w:sz w:val="24"/>
              </w:rPr>
            </w:pPr>
            <w:r>
              <w:rPr>
                <w:rFonts w:hint="eastAsia" w:ascii="宋体" w:hAnsi="宋体" w:eastAsia="宋体" w:cs="宋体"/>
                <w:color w:val="000000"/>
                <w:sz w:val="24"/>
              </w:rPr>
              <w:t>模型材质：采用优质玻璃钢材质</w:t>
            </w:r>
            <w:r>
              <w:rPr>
                <w:rFonts w:ascii="宋体" w:hAnsi="宋体" w:eastAsia="宋体" w:cs="宋体"/>
                <w:sz w:val="24"/>
                <w:szCs w:val="24"/>
              </w:rPr>
              <w:t>或木材质</w:t>
            </w:r>
            <w:r>
              <w:rPr>
                <w:rFonts w:hint="eastAsia" w:ascii="宋体" w:hAnsi="宋体" w:eastAsia="宋体" w:cs="宋体"/>
                <w:color w:val="000000"/>
                <w:sz w:val="24"/>
              </w:rPr>
              <w:t>，表面光滑无气泡、无裂纹、无变形，做工精细；</w:t>
            </w:r>
          </w:p>
          <w:p w14:paraId="1DF08A0B">
            <w:pPr>
              <w:adjustRightInd w:val="0"/>
              <w:spacing w:line="500" w:lineRule="exact"/>
              <w:ind w:firstLine="480" w:firstLineChars="200"/>
              <w:rPr>
                <w:rFonts w:hint="eastAsia" w:ascii="宋体" w:hAnsi="宋体" w:eastAsia="宋体" w:cs="宋体"/>
                <w:color w:val="000000"/>
                <w:sz w:val="24"/>
              </w:rPr>
            </w:pPr>
            <w:r>
              <w:rPr>
                <w:rFonts w:hint="eastAsia" w:ascii="宋体" w:hAnsi="宋体" w:eastAsia="宋体" w:cs="宋体"/>
                <w:color w:val="000000"/>
                <w:sz w:val="24"/>
              </w:rPr>
              <w:t>▲</w:t>
            </w:r>
            <w:r>
              <w:rPr>
                <w:rFonts w:ascii="宋体" w:hAnsi="宋体" w:eastAsia="宋体" w:cs="宋体"/>
                <w:sz w:val="24"/>
                <w:szCs w:val="24"/>
              </w:rPr>
              <w:t>线型要求：严格按照标准KCS船体型线制作，型线精度符合船舶模型试验相关规范；</w:t>
            </w:r>
          </w:p>
          <w:p w14:paraId="5675F0C2">
            <w:pPr>
              <w:adjustRightInd w:val="0"/>
              <w:spacing w:line="500" w:lineRule="exact"/>
              <w:ind w:firstLine="480" w:firstLineChars="200"/>
              <w:rPr>
                <w:rFonts w:hint="eastAsia" w:ascii="宋体" w:hAnsi="宋体" w:eastAsia="宋体" w:cs="宋体"/>
                <w:color w:val="000000"/>
                <w:sz w:val="24"/>
              </w:rPr>
            </w:pPr>
            <w:r>
              <w:rPr>
                <w:rFonts w:hint="eastAsia" w:ascii="宋体" w:hAnsi="宋体" w:eastAsia="宋体" w:cs="宋体"/>
                <w:color w:val="000000"/>
                <w:sz w:val="24"/>
              </w:rPr>
              <w:t>结构要求：结构稳固，具备良好水动力性能，适配水池阻力试验工况；</w:t>
            </w:r>
          </w:p>
          <w:p w14:paraId="56592AE3">
            <w:pPr>
              <w:adjustRightInd w:val="0"/>
              <w:spacing w:line="500" w:lineRule="exact"/>
              <w:ind w:firstLine="480" w:firstLineChars="200"/>
              <w:rPr>
                <w:rFonts w:hint="eastAsia" w:ascii="宋体" w:hAnsi="宋体" w:eastAsia="宋体" w:cs="宋体"/>
                <w:color w:val="000000"/>
                <w:sz w:val="24"/>
              </w:rPr>
            </w:pPr>
            <w:r>
              <w:rPr>
                <w:rFonts w:hint="eastAsia" w:ascii="宋体" w:hAnsi="宋体" w:eastAsia="宋体" w:cs="宋体"/>
                <w:color w:val="000000"/>
                <w:sz w:val="24"/>
              </w:rPr>
              <w:t>配套要求：随船模提供官方型线图纸、尺寸检测报告、模型出厂合格证。</w:t>
            </w:r>
          </w:p>
          <w:p w14:paraId="5BCCCB86">
            <w:pPr>
              <w:adjustRightInd w:val="0"/>
              <w:spacing w:line="500" w:lineRule="exact"/>
              <w:rPr>
                <w:rFonts w:hint="default" w:ascii="宋体" w:hAnsi="宋体" w:eastAsia="宋体" w:cs="宋体"/>
                <w:color w:val="000000"/>
                <w:sz w:val="24"/>
                <w:lang w:val="en-US" w:eastAsia="zh-CN"/>
              </w:rPr>
            </w:pPr>
            <w:r>
              <w:rPr>
                <w:rFonts w:hint="eastAsia" w:ascii="宋体" w:hAnsi="宋体" w:eastAsia="宋体" w:cs="宋体"/>
                <w:color w:val="000000"/>
                <w:sz w:val="24"/>
                <w:lang w:eastAsia="zh-CN"/>
              </w:rPr>
              <w:t>（</w:t>
            </w:r>
            <w:r>
              <w:rPr>
                <w:rFonts w:hint="eastAsia" w:ascii="宋体" w:hAnsi="宋体" w:eastAsia="宋体" w:cs="宋体"/>
                <w:color w:val="000000"/>
                <w:sz w:val="24"/>
                <w:lang w:val="en-US" w:eastAsia="zh-CN"/>
              </w:rPr>
              <w:t>2</w:t>
            </w:r>
            <w:r>
              <w:rPr>
                <w:rFonts w:hint="eastAsia" w:ascii="宋体" w:hAnsi="宋体" w:eastAsia="宋体" w:cs="宋体"/>
                <w:color w:val="000000"/>
                <w:sz w:val="24"/>
                <w:lang w:eastAsia="zh-CN"/>
              </w:rPr>
              <w:t>）</w:t>
            </w:r>
            <w:r>
              <w:rPr>
                <w:rFonts w:hint="eastAsia" w:ascii="宋体" w:hAnsi="宋体" w:eastAsia="宋体" w:cs="宋体"/>
                <w:color w:val="000000"/>
                <w:sz w:val="24"/>
              </w:rPr>
              <w:t>实验平台轨道</w:t>
            </w:r>
            <w:r>
              <w:rPr>
                <w:rFonts w:hint="eastAsia" w:ascii="宋体" w:hAnsi="宋体" w:eastAsia="宋体" w:cs="宋体"/>
                <w:color w:val="000000"/>
                <w:sz w:val="24"/>
                <w:lang w:val="en-US" w:eastAsia="zh-CN"/>
              </w:rPr>
              <w:t>2件</w:t>
            </w:r>
          </w:p>
          <w:p w14:paraId="2E684BD9">
            <w:pPr>
              <w:adjustRightInd w:val="0"/>
              <w:spacing w:line="500" w:lineRule="exact"/>
              <w:ind w:firstLine="480" w:firstLineChars="200"/>
              <w:rPr>
                <w:rFonts w:ascii="宋体" w:hAnsi="宋体" w:eastAsia="宋体" w:cs="宋体"/>
                <w:sz w:val="24"/>
                <w:szCs w:val="24"/>
              </w:rPr>
            </w:pPr>
            <w:r>
              <w:rPr>
                <w:rFonts w:ascii="宋体" w:hAnsi="宋体" w:eastAsia="宋体" w:cs="宋体"/>
                <w:sz w:val="24"/>
                <w:szCs w:val="24"/>
              </w:rPr>
              <w:t>▲主体材质：国标304不锈钢，耐潮湿环境腐蚀；</w:t>
            </w:r>
          </w:p>
          <w:p w14:paraId="5FAD439A">
            <w:pPr>
              <w:adjustRightInd w:val="0"/>
              <w:spacing w:line="500" w:lineRule="exact"/>
              <w:ind w:firstLine="480" w:firstLineChars="200"/>
              <w:rPr>
                <w:rFonts w:ascii="宋体" w:hAnsi="宋体" w:eastAsia="宋体" w:cs="宋体"/>
                <w:sz w:val="24"/>
                <w:szCs w:val="24"/>
              </w:rPr>
            </w:pPr>
            <w:r>
              <w:rPr>
                <w:rFonts w:ascii="宋体" w:hAnsi="宋体" w:eastAsia="宋体" w:cs="宋体"/>
                <w:sz w:val="24"/>
                <w:szCs w:val="24"/>
              </w:rPr>
              <w:t>▲型材规格：工字钢I20，单根标准长度2m；</w:t>
            </w:r>
          </w:p>
          <w:p w14:paraId="44407E4E">
            <w:pPr>
              <w:adjustRightInd w:val="0"/>
              <w:spacing w:line="500" w:lineRule="exact"/>
              <w:ind w:firstLine="480" w:firstLineChars="200"/>
              <w:rPr>
                <w:rFonts w:ascii="宋体" w:hAnsi="宋体" w:eastAsia="宋体" w:cs="宋体"/>
                <w:sz w:val="24"/>
                <w:szCs w:val="24"/>
              </w:rPr>
            </w:pPr>
            <w:r>
              <w:rPr>
                <w:rFonts w:ascii="宋体" w:hAnsi="宋体" w:eastAsia="宋体" w:cs="宋体"/>
                <w:sz w:val="24"/>
                <w:szCs w:val="24"/>
              </w:rPr>
              <w:t>▲加工精度：单轨水平度≤0.03mm/m，双轨整体水平度≤0.05mm/m；</w:t>
            </w:r>
          </w:p>
          <w:p w14:paraId="1217D57F">
            <w:pPr>
              <w:adjustRightInd w:val="0"/>
              <w:spacing w:line="500" w:lineRule="exact"/>
              <w:ind w:firstLine="480" w:firstLineChars="200"/>
              <w:rPr>
                <w:rFonts w:ascii="宋体" w:hAnsi="宋体" w:eastAsia="宋体" w:cs="宋体"/>
                <w:sz w:val="24"/>
                <w:szCs w:val="24"/>
              </w:rPr>
            </w:pPr>
            <w:r>
              <w:rPr>
                <w:rFonts w:ascii="宋体" w:hAnsi="宋体" w:eastAsia="宋体" w:cs="宋体"/>
                <w:sz w:val="24"/>
                <w:szCs w:val="24"/>
              </w:rPr>
              <w:t xml:space="preserve">表面处理：型材表面平整光滑，无毛刺、锈蚀、变形、划痕； </w:t>
            </w:r>
          </w:p>
          <w:p w14:paraId="0A125B06">
            <w:pPr>
              <w:adjustRightInd w:val="0"/>
              <w:spacing w:line="500" w:lineRule="exact"/>
              <w:ind w:firstLine="480" w:firstLineChars="200"/>
              <w:rPr>
                <w:rFonts w:hint="eastAsia" w:ascii="宋体" w:hAnsi="宋体" w:eastAsia="宋体" w:cs="宋体"/>
                <w:color w:val="000000"/>
                <w:sz w:val="24"/>
              </w:rPr>
            </w:pPr>
            <w:r>
              <w:rPr>
                <w:rFonts w:ascii="宋体" w:hAnsi="宋体" w:eastAsia="宋体" w:cs="宋体"/>
                <w:sz w:val="24"/>
                <w:szCs w:val="24"/>
              </w:rPr>
              <w:t>安装要求：轨道拼接、固定牢固，运行过程无松动、位移、异响。</w:t>
            </w:r>
          </w:p>
          <w:p w14:paraId="19E3E15B">
            <w:pPr>
              <w:numPr>
                <w:ilvl w:val="0"/>
                <w:numId w:val="0"/>
              </w:numPr>
              <w:adjustRightInd w:val="0"/>
              <w:spacing w:line="500" w:lineRule="exact"/>
              <w:ind w:leftChars="0"/>
              <w:rPr>
                <w:rFonts w:hint="eastAsia" w:ascii="宋体" w:hAnsi="宋体" w:eastAsia="宋体" w:cs="宋体"/>
                <w:color w:val="000000"/>
                <w:sz w:val="24"/>
              </w:rPr>
            </w:pPr>
            <w:r>
              <w:rPr>
                <w:rFonts w:hint="eastAsia" w:ascii="宋体" w:hAnsi="宋体" w:cs="宋体"/>
                <w:color w:val="000000"/>
                <w:sz w:val="24"/>
                <w:lang w:eastAsia="zh-CN"/>
              </w:rPr>
              <w:t>（</w:t>
            </w:r>
            <w:r>
              <w:rPr>
                <w:rFonts w:hint="eastAsia" w:ascii="宋体" w:hAnsi="宋体" w:cs="宋体"/>
                <w:color w:val="000000"/>
                <w:sz w:val="24"/>
                <w:lang w:val="en-US" w:eastAsia="zh-CN"/>
              </w:rPr>
              <w:t>3</w:t>
            </w:r>
            <w:r>
              <w:rPr>
                <w:rFonts w:hint="eastAsia" w:ascii="宋体" w:hAnsi="宋体" w:cs="宋体"/>
                <w:color w:val="000000"/>
                <w:sz w:val="24"/>
                <w:lang w:eastAsia="zh-CN"/>
              </w:rPr>
              <w:t>）</w:t>
            </w:r>
            <w:r>
              <w:rPr>
                <w:rFonts w:hint="eastAsia" w:ascii="宋体" w:hAnsi="宋体" w:eastAsia="宋体" w:cs="宋体"/>
                <w:color w:val="000000"/>
                <w:sz w:val="24"/>
              </w:rPr>
              <w:t>数据采集软件（基于LabVIEW编制）</w:t>
            </w:r>
          </w:p>
          <w:p w14:paraId="6E3239A2">
            <w:pPr>
              <w:numPr>
                <w:ilvl w:val="0"/>
                <w:numId w:val="0"/>
              </w:numPr>
              <w:adjustRightInd w:val="0"/>
              <w:spacing w:line="500" w:lineRule="exact"/>
              <w:rPr>
                <w:rFonts w:hint="default"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    </w:t>
            </w:r>
            <w:r>
              <w:rPr>
                <w:rFonts w:ascii="宋体" w:hAnsi="宋体" w:eastAsia="宋体" w:cs="宋体"/>
                <w:sz w:val="24"/>
                <w:szCs w:val="24"/>
              </w:rPr>
              <w:t>软件平台：基于LabVIEW环境编制、运行；</w:t>
            </w:r>
          </w:p>
          <w:p w14:paraId="70D072EC">
            <w:pPr>
              <w:numPr>
                <w:ilvl w:val="0"/>
                <w:numId w:val="0"/>
              </w:numPr>
              <w:adjustRightInd w:val="0"/>
              <w:spacing w:line="500" w:lineRule="exact"/>
              <w:ind w:firstLine="480" w:firstLineChars="200"/>
              <w:rPr>
                <w:rFonts w:hint="eastAsia" w:ascii="宋体" w:hAnsi="宋体" w:eastAsia="宋体" w:cs="宋体"/>
                <w:color w:val="000000"/>
                <w:sz w:val="24"/>
              </w:rPr>
            </w:pPr>
            <w:r>
              <w:rPr>
                <w:rFonts w:hint="eastAsia" w:ascii="宋体" w:hAnsi="宋体" w:eastAsia="宋体" w:cs="宋体"/>
                <w:color w:val="000000"/>
                <w:sz w:val="24"/>
              </w:rPr>
              <w:t>▲</w:t>
            </w:r>
            <w:r>
              <w:rPr>
                <w:rFonts w:hint="eastAsia" w:ascii="宋体" w:hAnsi="宋体" w:eastAsia="宋体" w:cs="宋体"/>
                <w:color w:val="000000"/>
                <w:sz w:val="24"/>
                <w:lang w:val="en-US" w:eastAsia="zh-CN"/>
              </w:rPr>
              <w:t>基础</w:t>
            </w:r>
            <w:r>
              <w:rPr>
                <w:rFonts w:hint="eastAsia" w:ascii="宋体" w:hAnsi="宋体" w:eastAsia="宋体" w:cs="宋体"/>
                <w:color w:val="000000"/>
                <w:sz w:val="24"/>
              </w:rPr>
              <w:t>功能：</w:t>
            </w:r>
            <w:r>
              <w:rPr>
                <w:rFonts w:hint="eastAsia" w:ascii="宋体" w:hAnsi="宋体" w:eastAsia="宋体" w:cs="宋体"/>
                <w:color w:val="000000"/>
                <w:sz w:val="24"/>
                <w:lang w:val="en-US" w:eastAsia="zh-CN"/>
              </w:rPr>
              <w:t>具备</w:t>
            </w:r>
            <w:r>
              <w:rPr>
                <w:rFonts w:hint="eastAsia" w:ascii="宋体" w:hAnsi="宋体" w:eastAsia="宋体" w:cs="宋体"/>
                <w:color w:val="000000"/>
                <w:sz w:val="24"/>
              </w:rPr>
              <w:t>数据采集</w:t>
            </w:r>
            <w:r>
              <w:rPr>
                <w:rFonts w:hint="eastAsia" w:ascii="宋体" w:hAnsi="宋体" w:eastAsia="宋体" w:cs="宋体"/>
                <w:color w:val="000000"/>
                <w:sz w:val="24"/>
                <w:lang w:eastAsia="zh-CN"/>
              </w:rPr>
              <w:t>、</w:t>
            </w:r>
            <w:r>
              <w:rPr>
                <w:rFonts w:hint="eastAsia" w:ascii="宋体" w:hAnsi="宋体" w:eastAsia="宋体" w:cs="宋体"/>
                <w:color w:val="000000"/>
                <w:sz w:val="24"/>
              </w:rPr>
              <w:t>数据显示</w:t>
            </w:r>
            <w:r>
              <w:rPr>
                <w:rFonts w:hint="eastAsia" w:ascii="宋体" w:hAnsi="宋体" w:eastAsia="宋体" w:cs="宋体"/>
                <w:color w:val="000000"/>
                <w:sz w:val="24"/>
                <w:lang w:eastAsia="zh-CN"/>
              </w:rPr>
              <w:t>、</w:t>
            </w:r>
            <w:r>
              <w:rPr>
                <w:rFonts w:hint="eastAsia" w:ascii="宋体" w:hAnsi="宋体" w:eastAsia="宋体" w:cs="宋体"/>
                <w:color w:val="000000"/>
                <w:sz w:val="24"/>
              </w:rPr>
              <w:t>数据保存</w:t>
            </w:r>
            <w:r>
              <w:rPr>
                <w:rFonts w:hint="eastAsia" w:ascii="宋体" w:hAnsi="宋体" w:eastAsia="宋体" w:cs="宋体"/>
                <w:color w:val="000000"/>
                <w:sz w:val="24"/>
                <w:lang w:eastAsia="zh-CN"/>
              </w:rPr>
              <w:t>、</w:t>
            </w:r>
            <w:r>
              <w:rPr>
                <w:rFonts w:hint="eastAsia" w:ascii="宋体" w:hAnsi="宋体" w:eastAsia="宋体" w:cs="宋体"/>
                <w:color w:val="000000"/>
                <w:sz w:val="24"/>
              </w:rPr>
              <w:t>历史数据查看</w:t>
            </w:r>
            <w:r>
              <w:rPr>
                <w:rFonts w:hint="eastAsia" w:ascii="宋体" w:hAnsi="宋体" w:eastAsia="宋体" w:cs="宋体"/>
                <w:color w:val="000000"/>
                <w:sz w:val="24"/>
                <w:lang w:eastAsia="zh-CN"/>
              </w:rPr>
              <w:t>、</w:t>
            </w:r>
            <w:r>
              <w:rPr>
                <w:rFonts w:hint="eastAsia" w:ascii="宋体" w:hAnsi="宋体" w:eastAsia="宋体" w:cs="宋体"/>
                <w:color w:val="000000"/>
                <w:sz w:val="24"/>
              </w:rPr>
              <w:t>信号调理采集卡参数设置</w:t>
            </w:r>
            <w:r>
              <w:rPr>
                <w:rFonts w:hint="eastAsia" w:ascii="宋体" w:hAnsi="宋体" w:eastAsia="宋体" w:cs="宋体"/>
                <w:color w:val="000000"/>
                <w:sz w:val="24"/>
                <w:lang w:eastAsia="zh-CN"/>
              </w:rPr>
              <w:t>、</w:t>
            </w:r>
            <w:r>
              <w:rPr>
                <w:rFonts w:hint="eastAsia" w:ascii="宋体" w:hAnsi="宋体" w:eastAsia="宋体" w:cs="宋体"/>
                <w:color w:val="000000"/>
                <w:sz w:val="24"/>
              </w:rPr>
              <w:t>用户权限管理</w:t>
            </w:r>
            <w:r>
              <w:rPr>
                <w:rFonts w:hint="eastAsia" w:ascii="宋体" w:hAnsi="宋体" w:eastAsia="宋体" w:cs="宋体"/>
                <w:color w:val="000000"/>
                <w:sz w:val="24"/>
                <w:lang w:val="en-US" w:eastAsia="zh-CN"/>
              </w:rPr>
              <w:t>功能；</w:t>
            </w:r>
          </w:p>
          <w:p w14:paraId="7BB94C11">
            <w:pPr>
              <w:numPr>
                <w:ilvl w:val="0"/>
                <w:numId w:val="0"/>
              </w:numPr>
              <w:adjustRightInd w:val="0"/>
              <w:spacing w:line="500" w:lineRule="exact"/>
              <w:ind w:firstLine="480" w:firstLineChars="200"/>
              <w:rPr>
                <w:rFonts w:ascii="宋体" w:hAnsi="宋体" w:eastAsia="宋体" w:cs="宋体"/>
                <w:sz w:val="24"/>
                <w:szCs w:val="24"/>
              </w:rPr>
            </w:pPr>
            <w:r>
              <w:rPr>
                <w:rFonts w:ascii="宋体" w:hAnsi="宋体" w:eastAsia="宋体" w:cs="宋体"/>
                <w:sz w:val="24"/>
                <w:szCs w:val="24"/>
              </w:rPr>
              <w:t>拓展功能：支持试验曲线实时绘制、试验报表自动导出、运行参数阈值预警，满足船舶阻力全流程试验要求。</w:t>
            </w:r>
          </w:p>
          <w:p w14:paraId="74336F46">
            <w:pPr>
              <w:numPr>
                <w:ilvl w:val="0"/>
                <w:numId w:val="1"/>
              </w:numPr>
              <w:adjustRightInd w:val="0"/>
              <w:spacing w:line="500" w:lineRule="exact"/>
              <w:ind w:left="0" w:leftChars="0" w:firstLine="0" w:firstLineChars="0"/>
              <w:rPr>
                <w:rFonts w:ascii="宋体" w:hAnsi="宋体" w:eastAsia="宋体" w:cs="宋体"/>
                <w:sz w:val="24"/>
                <w:szCs w:val="24"/>
              </w:rPr>
            </w:pPr>
            <w:r>
              <w:rPr>
                <w:rFonts w:ascii="宋体" w:hAnsi="宋体" w:eastAsia="宋体" w:cs="宋体"/>
                <w:sz w:val="24"/>
                <w:szCs w:val="24"/>
              </w:rPr>
              <w:t>X-Y航车安全防护设施，含活动门、防滑踏板各1套</w:t>
            </w:r>
          </w:p>
          <w:p w14:paraId="5B2286A4">
            <w:pPr>
              <w:numPr>
                <w:ilvl w:val="0"/>
                <w:numId w:val="2"/>
              </w:numPr>
              <w:adjustRightInd w:val="0"/>
              <w:spacing w:line="500" w:lineRule="exact"/>
              <w:ind w:leftChars="0" w:firstLine="480" w:firstLineChars="200"/>
              <w:rPr>
                <w:rFonts w:ascii="宋体" w:hAnsi="宋体" w:eastAsia="宋体" w:cs="宋体"/>
                <w:sz w:val="24"/>
                <w:szCs w:val="24"/>
              </w:rPr>
            </w:pPr>
            <w:r>
              <w:rPr>
                <w:rFonts w:ascii="宋体" w:hAnsi="宋体" w:eastAsia="宋体" w:cs="宋体"/>
                <w:sz w:val="24"/>
                <w:szCs w:val="24"/>
              </w:rPr>
              <w:t>X向拖车活动门1套；</w:t>
            </w:r>
          </w:p>
          <w:p w14:paraId="23040A05">
            <w:pPr>
              <w:keepNext w:val="0"/>
              <w:keepLines w:val="0"/>
              <w:pageBreakBefore w:val="0"/>
              <w:widowControl w:val="0"/>
              <w:numPr>
                <w:ilvl w:val="0"/>
                <w:numId w:val="0"/>
              </w:numPr>
              <w:kinsoku/>
              <w:wordWrap/>
              <w:overflowPunct/>
              <w:topLinePunct w:val="0"/>
              <w:autoSpaceDE/>
              <w:autoSpaceDN/>
              <w:bidi w:val="0"/>
              <w:adjustRightInd w:val="0"/>
              <w:snapToGrid/>
              <w:spacing w:line="500" w:lineRule="exact"/>
              <w:ind w:leftChars="0" w:firstLine="480" w:firstLineChars="200"/>
              <w:textAlignment w:val="auto"/>
              <w:rPr>
                <w:rFonts w:ascii="宋体" w:hAnsi="宋体" w:eastAsia="宋体" w:cs="宋体"/>
                <w:sz w:val="24"/>
                <w:szCs w:val="24"/>
              </w:rPr>
            </w:pPr>
            <w:r>
              <w:rPr>
                <w:rFonts w:ascii="宋体" w:hAnsi="宋体" w:eastAsia="宋体" w:cs="宋体"/>
                <w:sz w:val="24"/>
                <w:szCs w:val="24"/>
              </w:rPr>
              <w:t xml:space="preserve">▲外形尺寸：800mm×700mm，板材厚度≥1.5mm，开合顺畅、启闭可靠，防护效果良好。 </w:t>
            </w:r>
          </w:p>
          <w:p w14:paraId="0A7FE823">
            <w:pPr>
              <w:numPr>
                <w:ilvl w:val="0"/>
                <w:numId w:val="2"/>
              </w:numPr>
              <w:adjustRightInd w:val="0"/>
              <w:spacing w:line="500" w:lineRule="exact"/>
              <w:ind w:leftChars="0" w:firstLine="480" w:firstLineChars="200"/>
              <w:rPr>
                <w:rFonts w:hint="default" w:ascii="宋体" w:hAnsi="宋体" w:cs="宋体"/>
                <w:color w:val="000000"/>
                <w:sz w:val="24"/>
                <w:lang w:val="en-US" w:eastAsia="zh-CN"/>
              </w:rPr>
            </w:pPr>
            <w:r>
              <w:rPr>
                <w:rFonts w:ascii="宋体" w:hAnsi="宋体" w:eastAsia="宋体" w:cs="宋体"/>
                <w:sz w:val="24"/>
                <w:szCs w:val="24"/>
              </w:rPr>
              <w:t>Y向拖车踏板</w:t>
            </w:r>
            <w:r>
              <w:rPr>
                <w:rFonts w:hint="eastAsia" w:ascii="宋体" w:hAnsi="宋体" w:cs="宋体"/>
                <w:sz w:val="24"/>
                <w:szCs w:val="24"/>
                <w:lang w:val="en-US" w:eastAsia="zh-CN"/>
              </w:rPr>
              <w:t>1套</w:t>
            </w:r>
          </w:p>
          <w:p w14:paraId="507117CA">
            <w:pPr>
              <w:numPr>
                <w:ilvl w:val="0"/>
                <w:numId w:val="0"/>
              </w:numPr>
              <w:adjustRightInd w:val="0"/>
              <w:spacing w:line="500" w:lineRule="exact"/>
              <w:ind w:firstLine="480" w:firstLineChars="200"/>
              <w:rPr>
                <w:rFonts w:ascii="宋体" w:hAnsi="宋体" w:eastAsia="宋体" w:cs="宋体"/>
                <w:sz w:val="24"/>
                <w:szCs w:val="24"/>
              </w:rPr>
            </w:pPr>
            <w:r>
              <w:rPr>
                <w:rFonts w:ascii="宋体" w:hAnsi="宋体" w:eastAsia="宋体" w:cs="宋体"/>
                <w:sz w:val="24"/>
                <w:szCs w:val="24"/>
              </w:rPr>
              <w:t xml:space="preserve">▲外形尺寸：3500mm×700mm </w:t>
            </w:r>
            <w:r>
              <w:rPr>
                <w:rFonts w:hint="eastAsia" w:ascii="宋体" w:hAnsi="宋体" w:eastAsia="宋体" w:cs="宋体"/>
                <w:sz w:val="24"/>
                <w:szCs w:val="24"/>
                <w:lang w:eastAsia="zh-CN"/>
              </w:rPr>
              <w:t>，</w:t>
            </w:r>
            <w:r>
              <w:rPr>
                <w:rFonts w:ascii="宋体" w:hAnsi="宋体" w:eastAsia="宋体" w:cs="宋体"/>
                <w:sz w:val="24"/>
                <w:szCs w:val="24"/>
              </w:rPr>
              <w:t>板材厚度≥2.0mm，采用防滑花纹板设计，防滑性能满足现场作业要求。</w:t>
            </w:r>
          </w:p>
          <w:p w14:paraId="5A1B2548">
            <w:pPr>
              <w:numPr>
                <w:ilvl w:val="0"/>
                <w:numId w:val="0"/>
              </w:numPr>
              <w:adjustRightInd w:val="0"/>
              <w:spacing w:line="500" w:lineRule="exact"/>
              <w:ind w:firstLine="480" w:firstLineChars="200"/>
              <w:rPr>
                <w:rFonts w:hint="default" w:ascii="宋体" w:hAnsi="宋体" w:cs="宋体"/>
                <w:color w:val="000000"/>
                <w:sz w:val="24"/>
                <w:lang w:val="en-US" w:eastAsia="zh-CN"/>
              </w:rPr>
            </w:pPr>
            <w:r>
              <w:rPr>
                <w:rFonts w:ascii="宋体" w:hAnsi="宋体" w:eastAsia="宋体" w:cs="宋体"/>
                <w:sz w:val="24"/>
                <w:szCs w:val="24"/>
              </w:rPr>
              <w:t>▲整体通用要求： 整套防护设施统一采用304不锈钢材质；</w:t>
            </w:r>
            <w:r>
              <w:rPr>
                <w:rFonts w:hint="eastAsia" w:ascii="宋体" w:hAnsi="宋体" w:eastAsia="宋体" w:cs="宋体"/>
                <w:sz w:val="24"/>
                <w:szCs w:val="24"/>
              </w:rPr>
              <w:t>板材无翘曲、凹陷，焊接及拼接部位平整牢固</w:t>
            </w:r>
            <w:r>
              <w:rPr>
                <w:rFonts w:hint="eastAsia" w:ascii="宋体" w:hAnsi="宋体" w:eastAsia="宋体" w:cs="宋体"/>
                <w:sz w:val="24"/>
                <w:szCs w:val="24"/>
                <w:lang w:eastAsia="zh-CN"/>
              </w:rPr>
              <w:t>，</w:t>
            </w:r>
            <w:r>
              <w:rPr>
                <w:rFonts w:ascii="宋体" w:hAnsi="宋体" w:eastAsia="宋体" w:cs="宋体"/>
                <w:sz w:val="24"/>
                <w:szCs w:val="24"/>
              </w:rPr>
              <w:t>结构强度满足人员行走、日常使用工况，安全可靠。</w:t>
            </w:r>
          </w:p>
        </w:tc>
      </w:tr>
    </w:tbl>
    <w:p w14:paraId="2B2FE7E0">
      <w:pPr>
        <w:adjustRightInd w:val="0"/>
        <w:spacing w:line="500" w:lineRule="exact"/>
        <w:ind w:firstLine="420" w:firstLineChars="200"/>
        <w:rPr>
          <w:rFonts w:ascii="宋体" w:hAnsi="宋体"/>
          <w:color w:val="000000"/>
          <w:szCs w:val="21"/>
        </w:rPr>
      </w:pPr>
    </w:p>
    <w:p w14:paraId="2876D934">
      <w:pPr>
        <w:adjustRightInd w:val="0"/>
        <w:spacing w:line="500" w:lineRule="exact"/>
        <w:ind w:firstLine="480" w:firstLineChars="200"/>
        <w:rPr>
          <w:rFonts w:ascii="宋体" w:hAnsi="宋体"/>
          <w:color w:val="000000"/>
          <w:sz w:val="24"/>
        </w:rPr>
      </w:pPr>
      <w:r>
        <w:rPr>
          <w:rFonts w:hint="eastAsia" w:ascii="宋体" w:hAnsi="宋体"/>
          <w:sz w:val="24"/>
        </w:rPr>
        <w:t>★</w:t>
      </w:r>
      <w:r>
        <w:rPr>
          <w:rFonts w:hint="eastAsia" w:ascii="宋体" w:hAnsi="宋体"/>
          <w:color w:val="000000"/>
          <w:sz w:val="24"/>
        </w:rPr>
        <w:t>四、商务要求</w:t>
      </w:r>
    </w:p>
    <w:tbl>
      <w:tblPr>
        <w:tblStyle w:val="4"/>
        <w:tblpPr w:leftFromText="180" w:rightFromText="180" w:vertAnchor="text" w:horzAnchor="page" w:tblpXSpec="center" w:tblpY="166"/>
        <w:tblOverlap w:val="never"/>
        <w:tblW w:w="8964" w:type="dxa"/>
        <w:jc w:val="center"/>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Layout w:type="fixed"/>
        <w:tblCellMar>
          <w:top w:w="0" w:type="dxa"/>
          <w:left w:w="108" w:type="dxa"/>
          <w:bottom w:w="0" w:type="dxa"/>
          <w:right w:w="108" w:type="dxa"/>
        </w:tblCellMar>
      </w:tblPr>
      <w:tblGrid>
        <w:gridCol w:w="2507"/>
        <w:gridCol w:w="6457"/>
      </w:tblGrid>
      <w:tr w14:paraId="1CC2957F">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rHeight w:val="514" w:hRule="atLeast"/>
          <w:jc w:val="center"/>
        </w:trPr>
        <w:tc>
          <w:tcPr>
            <w:tcW w:w="2507" w:type="dxa"/>
            <w:tcBorders>
              <w:top w:val="single" w:color="000000" w:sz="4" w:space="0"/>
              <w:left w:val="single" w:color="000000" w:sz="4" w:space="0"/>
              <w:bottom w:val="single" w:color="000000" w:sz="4" w:space="0"/>
              <w:right w:val="single" w:color="000000" w:sz="4" w:space="0"/>
            </w:tcBorders>
            <w:shd w:val="solid" w:color="FFFFFF" w:fill="auto"/>
            <w:tcMar>
              <w:top w:w="0" w:type="dxa"/>
              <w:left w:w="108" w:type="dxa"/>
              <w:bottom w:w="0" w:type="dxa"/>
              <w:right w:w="108" w:type="dxa"/>
            </w:tcMar>
            <w:vAlign w:val="center"/>
          </w:tcPr>
          <w:p w14:paraId="2ED11CAD">
            <w:pPr>
              <w:shd w:val="solid" w:color="FFFFFF" w:fill="auto"/>
              <w:autoSpaceDN w:val="0"/>
              <w:adjustRightInd w:val="0"/>
              <w:spacing w:line="500" w:lineRule="exact"/>
              <w:jc w:val="center"/>
              <w:rPr>
                <w:rFonts w:ascii="宋体" w:hAnsi="宋体"/>
                <w:color w:val="000000"/>
                <w:sz w:val="24"/>
                <w:shd w:val="clear" w:color="auto" w:fill="FFFFFF"/>
              </w:rPr>
            </w:pPr>
            <w:r>
              <w:rPr>
                <w:rFonts w:ascii="宋体" w:hAnsi="宋体"/>
                <w:color w:val="000000"/>
                <w:sz w:val="24"/>
                <w:shd w:val="clear" w:color="auto" w:fill="FFFFFF"/>
              </w:rPr>
              <w:t>质保期</w:t>
            </w:r>
          </w:p>
        </w:tc>
        <w:tc>
          <w:tcPr>
            <w:tcW w:w="6457" w:type="dxa"/>
            <w:tcBorders>
              <w:top w:val="single" w:color="000000" w:sz="4" w:space="0"/>
              <w:left w:val="single" w:color="000000" w:sz="4" w:space="0"/>
              <w:bottom w:val="single" w:color="000000" w:sz="4" w:space="0"/>
              <w:right w:val="single" w:color="000000" w:sz="4" w:space="0"/>
            </w:tcBorders>
            <w:shd w:val="solid" w:color="FFFFFF" w:fill="auto"/>
            <w:tcMar>
              <w:top w:w="0" w:type="dxa"/>
              <w:left w:w="108" w:type="dxa"/>
              <w:bottom w:w="0" w:type="dxa"/>
              <w:right w:w="108" w:type="dxa"/>
            </w:tcMar>
            <w:vAlign w:val="center"/>
          </w:tcPr>
          <w:p w14:paraId="59B5A596">
            <w:pPr>
              <w:shd w:val="solid" w:color="FFFFFF" w:fill="auto"/>
              <w:autoSpaceDN w:val="0"/>
              <w:adjustRightInd w:val="0"/>
              <w:spacing w:line="500" w:lineRule="exact"/>
              <w:jc w:val="left"/>
              <w:rPr>
                <w:rFonts w:ascii="宋体" w:hAnsi="宋体"/>
                <w:color w:val="000000"/>
                <w:sz w:val="24"/>
                <w:shd w:val="clear" w:color="auto" w:fill="FFFFFF"/>
              </w:rPr>
            </w:pPr>
            <w:r>
              <w:rPr>
                <w:rFonts w:ascii="宋体" w:hAnsi="宋体"/>
                <w:color w:val="FF0000"/>
                <w:szCs w:val="21"/>
                <w:shd w:val="clear" w:color="auto" w:fill="FFFFFF"/>
              </w:rPr>
              <w:t>国家有统一规定的执行国家规定，没有规定的原则上不少于</w:t>
            </w:r>
            <w:r>
              <w:rPr>
                <w:rFonts w:hint="eastAsia" w:ascii="宋体" w:hAnsi="宋体"/>
                <w:color w:val="FF0000"/>
                <w:szCs w:val="21"/>
                <w:shd w:val="clear" w:color="auto" w:fill="FFFFFF"/>
                <w:lang w:val="en-US" w:eastAsia="zh-CN"/>
              </w:rPr>
              <w:t>36</w:t>
            </w:r>
            <w:r>
              <w:rPr>
                <w:rFonts w:ascii="宋体" w:hAnsi="宋体"/>
                <w:color w:val="FF0000"/>
                <w:szCs w:val="21"/>
                <w:shd w:val="clear" w:color="auto" w:fill="FFFFFF"/>
              </w:rPr>
              <w:t>个月</w:t>
            </w:r>
            <w:r>
              <w:rPr>
                <w:rFonts w:hint="eastAsia" w:ascii="宋体" w:hAnsi="宋体"/>
                <w:color w:val="FF0000"/>
                <w:szCs w:val="21"/>
                <w:shd w:val="clear" w:color="auto" w:fill="FFFFFF"/>
              </w:rPr>
              <w:t>。</w:t>
            </w:r>
          </w:p>
        </w:tc>
      </w:tr>
      <w:tr w14:paraId="07F212E0">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rHeight w:val="719" w:hRule="atLeast"/>
          <w:jc w:val="center"/>
        </w:trPr>
        <w:tc>
          <w:tcPr>
            <w:tcW w:w="2507" w:type="dxa"/>
            <w:tcBorders>
              <w:top w:val="single" w:color="000000" w:sz="4" w:space="0"/>
              <w:left w:val="single" w:color="000000" w:sz="4" w:space="0"/>
              <w:bottom w:val="single" w:color="000000" w:sz="4" w:space="0"/>
              <w:right w:val="single" w:color="000000" w:sz="4" w:space="0"/>
            </w:tcBorders>
            <w:shd w:val="solid" w:color="FFFFFF" w:fill="auto"/>
            <w:tcMar>
              <w:top w:w="0" w:type="dxa"/>
              <w:left w:w="108" w:type="dxa"/>
              <w:bottom w:w="0" w:type="dxa"/>
              <w:right w:w="108" w:type="dxa"/>
            </w:tcMar>
            <w:vAlign w:val="center"/>
          </w:tcPr>
          <w:p w14:paraId="04FCCABA">
            <w:pPr>
              <w:shd w:val="solid" w:color="FFFFFF" w:fill="auto"/>
              <w:autoSpaceDN w:val="0"/>
              <w:adjustRightInd w:val="0"/>
              <w:spacing w:line="500" w:lineRule="exact"/>
              <w:jc w:val="center"/>
              <w:rPr>
                <w:rFonts w:ascii="宋体" w:hAnsi="宋体"/>
                <w:sz w:val="24"/>
                <w:shd w:val="clear" w:color="auto" w:fill="FFFFFF"/>
              </w:rPr>
            </w:pPr>
            <w:r>
              <w:rPr>
                <w:rFonts w:ascii="宋体" w:hAnsi="宋体"/>
                <w:sz w:val="24"/>
                <w:shd w:val="clear" w:color="auto" w:fill="FFFFFF"/>
              </w:rPr>
              <w:t>售后技术服务要求</w:t>
            </w:r>
          </w:p>
        </w:tc>
        <w:tc>
          <w:tcPr>
            <w:tcW w:w="6457" w:type="dxa"/>
            <w:tcBorders>
              <w:top w:val="single" w:color="000000" w:sz="4" w:space="0"/>
              <w:left w:val="single" w:color="000000" w:sz="4" w:space="0"/>
              <w:bottom w:val="single" w:color="000000" w:sz="4" w:space="0"/>
              <w:right w:val="single" w:color="000000" w:sz="4" w:space="0"/>
            </w:tcBorders>
            <w:shd w:val="solid" w:color="FFFFFF" w:fill="auto"/>
            <w:tcMar>
              <w:top w:w="0" w:type="dxa"/>
              <w:left w:w="108" w:type="dxa"/>
              <w:bottom w:w="0" w:type="dxa"/>
              <w:right w:w="108" w:type="dxa"/>
            </w:tcMar>
            <w:vAlign w:val="center"/>
          </w:tcPr>
          <w:p w14:paraId="169CA2EF">
            <w:pPr>
              <w:shd w:val="solid" w:color="FFFFFF" w:fill="auto"/>
              <w:autoSpaceDN w:val="0"/>
              <w:snapToGrid w:val="0"/>
              <w:spacing w:line="360" w:lineRule="auto"/>
              <w:jc w:val="left"/>
              <w:rPr>
                <w:rFonts w:ascii="宋体" w:hAnsi="宋体"/>
                <w:color w:val="FF0000"/>
                <w:szCs w:val="21"/>
                <w:shd w:val="clear" w:color="auto" w:fill="FFFFFF"/>
              </w:rPr>
            </w:pPr>
            <w:r>
              <w:rPr>
                <w:rFonts w:ascii="宋体" w:hAnsi="宋体"/>
                <w:color w:val="FF0000"/>
                <w:szCs w:val="21"/>
                <w:shd w:val="clear" w:color="auto" w:fill="FFFFFF"/>
              </w:rPr>
              <w:t>含安装、调试、维修、保养、人员培训等。</w:t>
            </w:r>
          </w:p>
          <w:p w14:paraId="364D62B1">
            <w:pPr>
              <w:shd w:val="solid" w:color="FFFFFF" w:fill="auto"/>
              <w:autoSpaceDN w:val="0"/>
              <w:adjustRightInd w:val="0"/>
              <w:spacing w:line="500" w:lineRule="exact"/>
              <w:jc w:val="left"/>
              <w:rPr>
                <w:rFonts w:ascii="宋体" w:hAnsi="宋体"/>
                <w:sz w:val="24"/>
                <w:shd w:val="clear" w:color="auto" w:fill="FFFFFF"/>
              </w:rPr>
            </w:pPr>
            <w:r>
              <w:rPr>
                <w:rFonts w:hint="eastAsia" w:ascii="宋体" w:hAnsi="宋体"/>
                <w:color w:val="FF0000"/>
                <w:szCs w:val="21"/>
                <w:shd w:val="clear" w:color="auto" w:fill="FFFFFF"/>
              </w:rPr>
              <w:t>培训仅限于基本操作培训。</w:t>
            </w:r>
          </w:p>
        </w:tc>
      </w:tr>
      <w:tr w14:paraId="3CE423F2">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rHeight w:val="577" w:hRule="atLeast"/>
          <w:jc w:val="center"/>
        </w:trPr>
        <w:tc>
          <w:tcPr>
            <w:tcW w:w="2507" w:type="dxa"/>
            <w:tcBorders>
              <w:top w:val="single" w:color="000000" w:sz="4" w:space="0"/>
              <w:left w:val="single" w:color="000000" w:sz="4" w:space="0"/>
              <w:bottom w:val="single" w:color="000000" w:sz="4" w:space="0"/>
              <w:right w:val="single" w:color="000000" w:sz="4" w:space="0"/>
            </w:tcBorders>
            <w:shd w:val="solid" w:color="FFFFFF" w:fill="auto"/>
            <w:tcMar>
              <w:top w:w="0" w:type="dxa"/>
              <w:left w:w="108" w:type="dxa"/>
              <w:bottom w:w="0" w:type="dxa"/>
              <w:right w:w="108" w:type="dxa"/>
            </w:tcMar>
            <w:vAlign w:val="center"/>
          </w:tcPr>
          <w:p w14:paraId="728BC018">
            <w:pPr>
              <w:shd w:val="solid" w:color="FFFFFF" w:fill="auto"/>
              <w:autoSpaceDN w:val="0"/>
              <w:adjustRightInd w:val="0"/>
              <w:spacing w:line="500" w:lineRule="exact"/>
              <w:jc w:val="center"/>
              <w:rPr>
                <w:rFonts w:ascii="宋体" w:hAnsi="宋体"/>
                <w:color w:val="000000"/>
                <w:sz w:val="24"/>
                <w:shd w:val="clear" w:color="auto" w:fill="FFFFFF"/>
              </w:rPr>
            </w:pPr>
            <w:r>
              <w:rPr>
                <w:rFonts w:ascii="宋体" w:hAnsi="宋体"/>
                <w:color w:val="000000"/>
                <w:sz w:val="24"/>
                <w:shd w:val="clear" w:color="auto" w:fill="FFFFFF"/>
              </w:rPr>
              <w:t>交货时间</w:t>
            </w:r>
          </w:p>
        </w:tc>
        <w:tc>
          <w:tcPr>
            <w:tcW w:w="6457" w:type="dxa"/>
            <w:tcBorders>
              <w:top w:val="single" w:color="000000" w:sz="4" w:space="0"/>
              <w:left w:val="single" w:color="000000" w:sz="4" w:space="0"/>
              <w:bottom w:val="single" w:color="000000" w:sz="4" w:space="0"/>
              <w:right w:val="single" w:color="000000" w:sz="4" w:space="0"/>
            </w:tcBorders>
            <w:shd w:val="solid" w:color="FFFFFF" w:fill="auto"/>
            <w:tcMar>
              <w:top w:w="0" w:type="dxa"/>
              <w:left w:w="108" w:type="dxa"/>
              <w:bottom w:w="0" w:type="dxa"/>
              <w:right w:w="108" w:type="dxa"/>
            </w:tcMar>
            <w:vAlign w:val="center"/>
          </w:tcPr>
          <w:p w14:paraId="56733970">
            <w:pPr>
              <w:shd w:val="solid" w:color="FFFFFF" w:fill="auto"/>
              <w:autoSpaceDN w:val="0"/>
              <w:adjustRightInd w:val="0"/>
              <w:spacing w:line="500" w:lineRule="exact"/>
              <w:jc w:val="left"/>
              <w:rPr>
                <w:rFonts w:ascii="宋体" w:hAnsi="宋体" w:cs="宋体"/>
                <w:sz w:val="24"/>
              </w:rPr>
            </w:pPr>
            <w:r>
              <w:rPr>
                <w:rFonts w:hint="eastAsia" w:ascii="宋体" w:hAnsi="宋体" w:cs="宋体"/>
                <w:sz w:val="24"/>
              </w:rPr>
              <w:t xml:space="preserve">合同签订生效后 </w:t>
            </w:r>
            <w:r>
              <w:rPr>
                <w:rFonts w:hint="eastAsia" w:ascii="宋体" w:hAnsi="宋体" w:cs="宋体"/>
                <w:sz w:val="24"/>
                <w:u w:val="single"/>
              </w:rPr>
              <w:t xml:space="preserve"> </w:t>
            </w:r>
            <w:r>
              <w:rPr>
                <w:rFonts w:hint="eastAsia" w:ascii="宋体" w:hAnsi="宋体" w:cs="宋体"/>
                <w:sz w:val="24"/>
                <w:u w:val="single"/>
                <w:lang w:val="en-US" w:eastAsia="zh-CN"/>
              </w:rPr>
              <w:t>45</w:t>
            </w:r>
            <w:r>
              <w:rPr>
                <w:rFonts w:hint="eastAsia" w:ascii="宋体" w:hAnsi="宋体" w:cs="宋体"/>
                <w:sz w:val="24"/>
                <w:u w:val="single"/>
              </w:rPr>
              <w:t xml:space="preserve"> </w:t>
            </w:r>
            <w:r>
              <w:rPr>
                <w:rFonts w:hint="eastAsia" w:ascii="宋体" w:hAnsi="宋体" w:cs="宋体"/>
                <w:sz w:val="24"/>
                <w:u w:val="single"/>
                <w:lang w:eastAsia="zh-CN"/>
              </w:rPr>
              <w:t>日历</w:t>
            </w:r>
            <w:r>
              <w:rPr>
                <w:rFonts w:hint="eastAsia" w:ascii="宋体" w:hAnsi="宋体" w:cs="宋体"/>
                <w:sz w:val="24"/>
              </w:rPr>
              <w:t>天内。</w:t>
            </w:r>
          </w:p>
          <w:p w14:paraId="073DA98E">
            <w:pPr>
              <w:shd w:val="solid" w:color="FFFFFF" w:fill="auto"/>
              <w:autoSpaceDN w:val="0"/>
              <w:adjustRightInd w:val="0"/>
              <w:spacing w:line="500" w:lineRule="exact"/>
              <w:jc w:val="left"/>
              <w:rPr>
                <w:rFonts w:ascii="宋体" w:hAnsi="宋体"/>
                <w:color w:val="000000"/>
                <w:sz w:val="24"/>
                <w:shd w:val="clear" w:color="auto" w:fill="FFFFFF"/>
              </w:rPr>
            </w:pPr>
            <w:r>
              <w:rPr>
                <w:rFonts w:hint="eastAsia" w:ascii="宋体" w:hAnsi="宋体" w:cs="宋体"/>
                <w:sz w:val="24"/>
              </w:rPr>
              <w:t>逾期提供货物，每天按合同款总额2‰的额度支付延期交货违约金（具体见第五章合同条款）。</w:t>
            </w:r>
          </w:p>
        </w:tc>
      </w:tr>
      <w:tr w14:paraId="267CE379">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rHeight w:val="478" w:hRule="atLeast"/>
          <w:jc w:val="center"/>
        </w:trPr>
        <w:tc>
          <w:tcPr>
            <w:tcW w:w="2507" w:type="dxa"/>
            <w:tcBorders>
              <w:top w:val="single" w:color="000000" w:sz="4" w:space="0"/>
              <w:left w:val="single" w:color="000000" w:sz="4" w:space="0"/>
              <w:bottom w:val="single" w:color="000000" w:sz="4" w:space="0"/>
              <w:right w:val="single" w:color="000000" w:sz="4" w:space="0"/>
            </w:tcBorders>
            <w:shd w:val="solid" w:color="FFFFFF" w:fill="auto"/>
            <w:tcMar>
              <w:top w:w="0" w:type="dxa"/>
              <w:left w:w="108" w:type="dxa"/>
              <w:bottom w:w="0" w:type="dxa"/>
              <w:right w:w="108" w:type="dxa"/>
            </w:tcMar>
            <w:vAlign w:val="center"/>
          </w:tcPr>
          <w:p w14:paraId="39BC1A32">
            <w:pPr>
              <w:shd w:val="solid" w:color="FFFFFF" w:fill="auto"/>
              <w:autoSpaceDN w:val="0"/>
              <w:adjustRightInd w:val="0"/>
              <w:spacing w:line="500" w:lineRule="exact"/>
              <w:jc w:val="center"/>
              <w:rPr>
                <w:rFonts w:ascii="宋体" w:hAnsi="宋体"/>
                <w:color w:val="000000"/>
                <w:sz w:val="24"/>
                <w:shd w:val="clear" w:color="auto" w:fill="FFFFFF"/>
              </w:rPr>
            </w:pPr>
            <w:r>
              <w:rPr>
                <w:rFonts w:ascii="宋体" w:hAnsi="宋体"/>
                <w:color w:val="000000"/>
                <w:sz w:val="24"/>
                <w:shd w:val="clear" w:color="auto" w:fill="FFFFFF"/>
              </w:rPr>
              <w:t>付款方式</w:t>
            </w:r>
          </w:p>
        </w:tc>
        <w:tc>
          <w:tcPr>
            <w:tcW w:w="6457" w:type="dxa"/>
            <w:tcBorders>
              <w:top w:val="single" w:color="000000" w:sz="4" w:space="0"/>
              <w:left w:val="single" w:color="000000" w:sz="4" w:space="0"/>
              <w:bottom w:val="single" w:color="000000" w:sz="4" w:space="0"/>
              <w:right w:val="single" w:color="000000" w:sz="4" w:space="0"/>
            </w:tcBorders>
            <w:shd w:val="solid" w:color="FFFFFF" w:fill="auto"/>
            <w:tcMar>
              <w:top w:w="0" w:type="dxa"/>
              <w:left w:w="108" w:type="dxa"/>
              <w:bottom w:w="0" w:type="dxa"/>
              <w:right w:w="108" w:type="dxa"/>
            </w:tcMar>
            <w:vAlign w:val="center"/>
          </w:tcPr>
          <w:p w14:paraId="7348E934">
            <w:pPr>
              <w:shd w:val="solid" w:color="FFFFFF" w:fill="auto"/>
              <w:autoSpaceDN w:val="0"/>
              <w:adjustRightInd w:val="0"/>
              <w:spacing w:line="500" w:lineRule="exact"/>
              <w:jc w:val="left"/>
              <w:rPr>
                <w:rFonts w:ascii="宋体" w:hAnsi="宋体"/>
                <w:color w:val="000000"/>
                <w:sz w:val="24"/>
                <w:shd w:val="clear" w:color="auto" w:fill="FFFFFF"/>
              </w:rPr>
            </w:pPr>
            <w:r>
              <w:rPr>
                <w:rFonts w:ascii="宋体" w:hAnsi="宋体"/>
                <w:color w:val="000000"/>
                <w:sz w:val="24"/>
                <w:shd w:val="clear" w:color="auto" w:fill="FFFFFF"/>
              </w:rPr>
              <w:t>见</w:t>
            </w:r>
            <w:r>
              <w:rPr>
                <w:rFonts w:hint="eastAsia"/>
                <w:sz w:val="24"/>
              </w:rPr>
              <w:t>第五章合同条款</w:t>
            </w:r>
          </w:p>
        </w:tc>
      </w:tr>
      <w:tr w14:paraId="1E73EF31">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rHeight w:val="925" w:hRule="atLeast"/>
          <w:jc w:val="center"/>
        </w:trPr>
        <w:tc>
          <w:tcPr>
            <w:tcW w:w="2507" w:type="dxa"/>
            <w:tcBorders>
              <w:top w:val="single" w:color="000000" w:sz="4" w:space="0"/>
              <w:left w:val="single" w:color="000000" w:sz="4" w:space="0"/>
              <w:bottom w:val="single" w:color="000000" w:sz="4" w:space="0"/>
              <w:right w:val="single" w:color="000000" w:sz="4" w:space="0"/>
            </w:tcBorders>
            <w:shd w:val="solid" w:color="FFFFFF" w:fill="auto"/>
            <w:tcMar>
              <w:top w:w="0" w:type="dxa"/>
              <w:left w:w="108" w:type="dxa"/>
              <w:bottom w:w="0" w:type="dxa"/>
              <w:right w:w="108" w:type="dxa"/>
            </w:tcMar>
            <w:vAlign w:val="center"/>
          </w:tcPr>
          <w:p w14:paraId="2435E322">
            <w:pPr>
              <w:shd w:val="solid" w:color="FFFFFF" w:fill="auto"/>
              <w:autoSpaceDN w:val="0"/>
              <w:adjustRightInd w:val="0"/>
              <w:spacing w:line="500" w:lineRule="exact"/>
              <w:jc w:val="center"/>
              <w:rPr>
                <w:rFonts w:ascii="宋体" w:hAnsi="宋体"/>
                <w:color w:val="000000"/>
                <w:sz w:val="24"/>
                <w:shd w:val="clear" w:color="auto" w:fill="FFFFFF"/>
              </w:rPr>
            </w:pPr>
            <w:r>
              <w:rPr>
                <w:rFonts w:ascii="宋体" w:hAnsi="宋体"/>
                <w:color w:val="000000"/>
                <w:sz w:val="24"/>
                <w:shd w:val="clear" w:color="auto" w:fill="FFFFFF"/>
              </w:rPr>
              <w:t>售后服务保障或维修响应时间要求</w:t>
            </w:r>
          </w:p>
        </w:tc>
        <w:tc>
          <w:tcPr>
            <w:tcW w:w="6457" w:type="dxa"/>
            <w:tcBorders>
              <w:top w:val="single" w:color="000000" w:sz="4" w:space="0"/>
              <w:left w:val="single" w:color="000000" w:sz="4" w:space="0"/>
              <w:bottom w:val="single" w:color="000000" w:sz="4" w:space="0"/>
              <w:right w:val="single" w:color="000000" w:sz="4" w:space="0"/>
            </w:tcBorders>
            <w:shd w:val="solid" w:color="FFFFFF" w:fill="auto"/>
            <w:tcMar>
              <w:top w:w="0" w:type="dxa"/>
              <w:left w:w="108" w:type="dxa"/>
              <w:bottom w:w="0" w:type="dxa"/>
              <w:right w:w="108" w:type="dxa"/>
            </w:tcMar>
            <w:vAlign w:val="center"/>
          </w:tcPr>
          <w:p w14:paraId="4715B1D6">
            <w:pPr>
              <w:shd w:val="solid" w:color="FFFFFF" w:fill="auto"/>
              <w:autoSpaceDN w:val="0"/>
              <w:adjustRightInd w:val="0"/>
              <w:spacing w:line="500" w:lineRule="exact"/>
              <w:jc w:val="left"/>
              <w:rPr>
                <w:rFonts w:ascii="宋体" w:hAnsi="宋体"/>
                <w:color w:val="000000"/>
                <w:sz w:val="24"/>
                <w:shd w:val="clear" w:color="auto" w:fill="FFFFFF"/>
              </w:rPr>
            </w:pPr>
            <w:r>
              <w:rPr>
                <w:rFonts w:hint="eastAsia" w:ascii="宋体" w:hAnsi="宋体" w:cs="宋体"/>
                <w:sz w:val="24"/>
              </w:rPr>
              <w:t>乙方</w:t>
            </w:r>
            <w:r>
              <w:rPr>
                <w:rFonts w:hint="eastAsia" w:ascii="宋体" w:hAnsi="宋体" w:cs="宋体"/>
                <w:sz w:val="24"/>
                <w:u w:val="single"/>
              </w:rPr>
              <w:t xml:space="preserve"> 24 </w:t>
            </w:r>
            <w:r>
              <w:rPr>
                <w:rFonts w:hint="eastAsia" w:ascii="宋体" w:hAnsi="宋体" w:cs="宋体"/>
                <w:sz w:val="24"/>
              </w:rPr>
              <w:t>小时内响应甲方的维修要求，</w:t>
            </w:r>
            <w:r>
              <w:rPr>
                <w:rFonts w:hint="eastAsia" w:ascii="宋体" w:hAnsi="宋体" w:cs="宋体"/>
                <w:sz w:val="24"/>
                <w:u w:val="single"/>
              </w:rPr>
              <w:t xml:space="preserve"> 48 </w:t>
            </w:r>
            <w:r>
              <w:rPr>
                <w:rFonts w:hint="eastAsia" w:ascii="宋体" w:hAnsi="宋体" w:cs="宋体"/>
                <w:sz w:val="24"/>
              </w:rPr>
              <w:t>小时内解决，如超过</w:t>
            </w:r>
            <w:r>
              <w:rPr>
                <w:rFonts w:hint="eastAsia" w:ascii="宋体" w:hAnsi="宋体" w:cs="宋体"/>
                <w:sz w:val="24"/>
                <w:u w:val="single"/>
              </w:rPr>
              <w:t xml:space="preserve"> 48 </w:t>
            </w:r>
            <w:r>
              <w:rPr>
                <w:rFonts w:hint="eastAsia" w:ascii="宋体" w:hAnsi="宋体" w:cs="宋体"/>
                <w:sz w:val="24"/>
              </w:rPr>
              <w:t>小时仍不能解决，由乙方在</w:t>
            </w:r>
            <w:r>
              <w:rPr>
                <w:rFonts w:hint="eastAsia" w:ascii="宋体" w:hAnsi="宋体" w:cs="宋体"/>
                <w:sz w:val="24"/>
                <w:u w:val="single"/>
              </w:rPr>
              <w:t xml:space="preserve"> 48 </w:t>
            </w:r>
            <w:r>
              <w:rPr>
                <w:rFonts w:hint="eastAsia" w:ascii="宋体" w:hAnsi="宋体" w:cs="宋体"/>
                <w:sz w:val="24"/>
              </w:rPr>
              <w:t>小时内提供性能不低于故障产品的备用产品。</w:t>
            </w:r>
          </w:p>
        </w:tc>
      </w:tr>
    </w:tbl>
    <w:p w14:paraId="1977E36F">
      <w:pPr>
        <w:adjustRightInd w:val="0"/>
        <w:spacing w:line="500" w:lineRule="exact"/>
        <w:ind w:firstLine="482" w:firstLineChars="200"/>
        <w:rPr>
          <w:rFonts w:hint="eastAsia" w:ascii="宋体" w:hAnsi="宋体"/>
          <w:b/>
          <w:color w:val="000000"/>
          <w:sz w:val="24"/>
        </w:rPr>
      </w:pPr>
    </w:p>
    <w:p w14:paraId="1A644A84">
      <w:pPr>
        <w:spacing w:line="300" w:lineRule="auto"/>
        <w:ind w:firstLine="482" w:firstLineChars="200"/>
        <w:jc w:val="both"/>
        <w:rPr>
          <w:rFonts w:ascii="宋体" w:hAnsi="宋体"/>
          <w:b/>
          <w:color w:val="000000"/>
          <w:sz w:val="24"/>
        </w:rPr>
      </w:pPr>
      <w:r>
        <w:rPr>
          <w:rFonts w:hint="eastAsia" w:ascii="宋体" w:hAnsi="宋体"/>
          <w:b/>
          <w:color w:val="000000"/>
          <w:sz w:val="24"/>
        </w:rPr>
        <w:t>五、履约验收要求</w:t>
      </w:r>
    </w:p>
    <w:p w14:paraId="78CDBF0E">
      <w:pPr>
        <w:spacing w:line="300" w:lineRule="auto"/>
        <w:ind w:firstLine="420" w:firstLineChars="200"/>
        <w:jc w:val="both"/>
        <w:rPr>
          <w:rFonts w:ascii="宋体" w:hAnsi="宋体"/>
          <w:color w:val="000000"/>
          <w:szCs w:val="21"/>
        </w:rPr>
      </w:pPr>
      <w:r>
        <w:rPr>
          <w:rFonts w:hint="eastAsia" w:ascii="宋体" w:hAnsi="宋体"/>
          <w:color w:val="000000"/>
          <w:szCs w:val="21"/>
        </w:rPr>
        <w:t>中标人严格按约定时间供货，提供的货物必须符合我国最新颁布的与之相关的技术规范与标准，成品货物的到货验收包括但不限于：品名、品牌、尺码、数量、质量、铭牌、产品外观及外包装完整无破损。</w:t>
      </w:r>
    </w:p>
    <w:p w14:paraId="020B8AF3">
      <w:pPr>
        <w:spacing w:line="300" w:lineRule="auto"/>
        <w:ind w:firstLine="420" w:firstLineChars="200"/>
        <w:jc w:val="both"/>
        <w:rPr>
          <w:rFonts w:ascii="宋体" w:hAnsi="宋体"/>
          <w:color w:val="000000"/>
          <w:szCs w:val="21"/>
        </w:rPr>
      </w:pPr>
      <w:r>
        <w:rPr>
          <w:rFonts w:hint="eastAsia" w:ascii="宋体" w:hAnsi="宋体"/>
          <w:color w:val="000000"/>
          <w:szCs w:val="21"/>
        </w:rPr>
        <w:t>中标人应将所提供货物的装箱清单、用户手册、原厂保修卡、随机资料及配件工具等交付给采购人。中标人不能完整交付货物及本款规定的单证和工具的，视为未按合同约定交货，应负责补齐，因此导致逾期交付的，由中标人承担相关的违约责任。</w:t>
      </w:r>
    </w:p>
    <w:p w14:paraId="5AE88DFC">
      <w:pPr>
        <w:spacing w:line="300" w:lineRule="auto"/>
        <w:ind w:firstLine="420" w:firstLineChars="200"/>
        <w:jc w:val="both"/>
        <w:rPr>
          <w:rFonts w:ascii="宋体" w:hAnsi="宋体"/>
          <w:color w:val="000000"/>
          <w:szCs w:val="21"/>
        </w:rPr>
      </w:pPr>
      <w:r>
        <w:rPr>
          <w:rFonts w:hint="eastAsia" w:ascii="宋体" w:hAnsi="宋体"/>
          <w:color w:val="000000"/>
          <w:szCs w:val="21"/>
        </w:rPr>
        <w:t>中标人在交货前应对所有货物初步检查，并列出清单，作为采购人收货验收和使用的技术条件依据，清单应随货物一起交付采购人。</w:t>
      </w:r>
    </w:p>
    <w:p w14:paraId="32A4A953">
      <w:pPr>
        <w:spacing w:line="300" w:lineRule="auto"/>
        <w:ind w:firstLine="420" w:firstLineChars="200"/>
        <w:jc w:val="both"/>
        <w:rPr>
          <w:rFonts w:ascii="宋体" w:hAnsi="宋体"/>
          <w:color w:val="000000"/>
          <w:szCs w:val="21"/>
        </w:rPr>
      </w:pPr>
      <w:r>
        <w:rPr>
          <w:rFonts w:hint="eastAsia" w:ascii="宋体" w:hAnsi="宋体"/>
          <w:color w:val="000000"/>
          <w:szCs w:val="21"/>
        </w:rPr>
        <w:t>货物运抵采购人指定地点，采购人检查和记录外包装及设备外观状况有无破损、锈蚀、受潮等，按合同和装箱单对货物的外观、质量、型号、规格、数量、配件及附件等进行清点检验。清点无误后中标方需在3天内开始组织安装、调试、培训，并取得相关完成凭证提交采购人。</w:t>
      </w:r>
    </w:p>
    <w:p w14:paraId="7F833BB6">
      <w:pPr>
        <w:spacing w:line="300" w:lineRule="auto"/>
        <w:ind w:firstLine="420" w:firstLineChars="200"/>
        <w:jc w:val="both"/>
        <w:rPr>
          <w:rFonts w:ascii="宋体" w:hAnsi="宋体"/>
          <w:color w:val="000000"/>
          <w:szCs w:val="21"/>
        </w:rPr>
      </w:pPr>
      <w:r>
        <w:rPr>
          <w:rFonts w:hint="eastAsia" w:ascii="宋体" w:hAnsi="宋体"/>
          <w:color w:val="000000"/>
          <w:szCs w:val="21"/>
        </w:rPr>
        <w:t>采购人试运行合格两周内依法组织验收工作。采购人在组织履约验收前，将根据项目特点制定验收方案，明确履约验收的时间、方式、程序等内容，中标人应根据验收方案内容做好相应配合工作。如有必要，采购人邀请参加本项目的其他供应商或第三方专业机构及专家参与验收，相关意见将作为验收的参考资料。采购人成立验收小组，按照采购合同的约定对中标人的履约情况进行验收。验收时，采购人按照合同、招投标文件及货物说明书中的技术参数对货物的功能、技术指标逐项进行确认。采购人有权选择部分货物由质量监督检测部门进行检测，各项指标必须符合招投标文件的要求；未达到要求，且对采购人造成损失的，由中标人承担一切责任，并赔偿所造成的损失。</w:t>
      </w:r>
    </w:p>
    <w:p w14:paraId="1B0E82F3">
      <w:pPr>
        <w:spacing w:line="300" w:lineRule="auto"/>
        <w:ind w:firstLine="420" w:firstLineChars="200"/>
        <w:jc w:val="both"/>
        <w:rPr>
          <w:rFonts w:ascii="宋体" w:hAnsi="宋体"/>
          <w:color w:val="000000"/>
          <w:szCs w:val="21"/>
        </w:rPr>
      </w:pPr>
      <w:r>
        <w:rPr>
          <w:rFonts w:hint="eastAsia" w:ascii="宋体" w:hAnsi="宋体"/>
          <w:color w:val="000000"/>
          <w:szCs w:val="21"/>
        </w:rPr>
        <w:t>验收结束后，验收小组出具验收报告，列明各项标准的验收情况及项目总体评价。验收合格的项目，采购人根据采购合同的约定及时向中标人支付合同款项、退还履约保证金。验收不合格的项目，采购人依法及时处理。采购合同的履行、违约责任和解决争议的方式等适用《中华人民共和国民法典》。中标人在履约过程中有政府采购法律法规规定的违法违规情形的，采购人将及时报告相关管理部门。</w:t>
      </w:r>
    </w:p>
    <w:p w14:paraId="4668FCE2">
      <w:pPr>
        <w:spacing w:line="300" w:lineRule="auto"/>
        <w:ind w:firstLine="420" w:firstLineChars="200"/>
        <w:jc w:val="both"/>
        <w:rPr>
          <w:rFonts w:ascii="宋体" w:hAnsi="宋体"/>
          <w:color w:val="000000"/>
          <w:szCs w:val="21"/>
        </w:rPr>
      </w:pPr>
    </w:p>
    <w:p w14:paraId="5EF17FBC">
      <w:pPr>
        <w:spacing w:line="300" w:lineRule="auto"/>
        <w:ind w:firstLine="482" w:firstLineChars="200"/>
        <w:rPr>
          <w:rFonts w:ascii="宋体" w:hAnsi="宋体"/>
          <w:b/>
          <w:color w:val="000000"/>
          <w:sz w:val="24"/>
        </w:rPr>
      </w:pPr>
      <w:r>
        <w:rPr>
          <w:rFonts w:hint="eastAsia" w:ascii="宋体" w:hAnsi="宋体"/>
          <w:b/>
          <w:color w:val="000000"/>
          <w:sz w:val="24"/>
        </w:rPr>
        <w:t>六、其它要求</w:t>
      </w:r>
    </w:p>
    <w:p w14:paraId="47FF2F53">
      <w:pPr>
        <w:spacing w:line="300" w:lineRule="auto"/>
        <w:ind w:firstLine="420" w:firstLineChars="200"/>
        <w:rPr>
          <w:rFonts w:ascii="宋体" w:hAnsi="宋体" w:cs="MS Shell Dlg"/>
          <w:szCs w:val="21"/>
        </w:rPr>
      </w:pPr>
      <w:r>
        <w:rPr>
          <w:rFonts w:hint="eastAsia" w:ascii="宋体" w:hAnsi="宋体" w:cs="MS Shell Dlg"/>
          <w:szCs w:val="21"/>
        </w:rPr>
        <w:t>(1)因不同投标人的设备设计原理未必完全相同，投标人可视自身情况配置设备及附件，但应能充分满足招标人的功能及参数要求。</w:t>
      </w:r>
    </w:p>
    <w:p w14:paraId="30EABEC4">
      <w:pPr>
        <w:spacing w:line="300" w:lineRule="auto"/>
        <w:ind w:firstLine="420" w:firstLineChars="200"/>
        <w:rPr>
          <w:rFonts w:hint="eastAsia" w:ascii="宋体" w:hAnsi="宋体" w:cs="MS Shell Dlg"/>
          <w:szCs w:val="21"/>
        </w:rPr>
      </w:pPr>
      <w:r>
        <w:rPr>
          <w:rFonts w:hint="eastAsia" w:ascii="宋体" w:hAnsi="宋体" w:cs="MS Shell Dlg"/>
          <w:szCs w:val="21"/>
        </w:rPr>
        <w:t>(2)投标人应保证提供满足招标人正常使用的必要配置及附件而不再需要花费任何额外的费用，即使采购方在制定招标书时要求不够具体。安装后就能正常工作。</w:t>
      </w:r>
    </w:p>
    <w:p w14:paraId="7DEBB861">
      <w:pPr>
        <w:spacing w:line="300" w:lineRule="auto"/>
        <w:ind w:firstLine="420" w:firstLineChars="200"/>
        <w:rPr>
          <w:rFonts w:hint="eastAsia"/>
          <w:b/>
          <w:sz w:val="32"/>
          <w:szCs w:val="32"/>
        </w:rPr>
      </w:pPr>
      <w:r>
        <w:rPr>
          <w:rFonts w:hint="eastAsia" w:ascii="宋体" w:hAnsi="宋体" w:cs="MS Shell Dlg"/>
          <w:szCs w:val="21"/>
        </w:rPr>
        <w:t xml:space="preserve">(3)房屋装修改造工程室内环境必须符合GB50325-2001《民用建筑工程室内环境污染控制规范》,并达到GB/T18883-2002《室内空气质量标准》，项目竣工后由中标人委托市级及以上检测机构进行检测并出具合格报告，如无合格报告，招标人不予验收，中标人进行整改直至合格，造成工期延误的，责任由中标人承担。      </w:t>
      </w:r>
    </w:p>
    <w:p w14:paraId="68E98564">
      <w:bookmarkStart w:id="0" w:name="_GoBack"/>
      <w:bookmarkEnd w:id="0"/>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swiss"/>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Helvetica">
    <w:altName w:val="Arial"/>
    <w:panose1 w:val="020B0604020202030204"/>
    <w:charset w:val="00"/>
    <w:family w:val="swiss"/>
    <w:pitch w:val="default"/>
    <w:sig w:usb0="00000000" w:usb1="00000000" w:usb2="00000000" w:usb3="00000000" w:csb0="00000000" w:csb1="00000000"/>
  </w:font>
  <w:font w:name="MS Shell Dlg">
    <w:altName w:val="Microsoft Sans Serif"/>
    <w:panose1 w:val="020B0604020202020204"/>
    <w:charset w:val="00"/>
    <w:family w:val="swiss"/>
    <w:pitch w:val="default"/>
    <w:sig w:usb0="00000000" w:usb1="00000000" w:usb2="00000008" w:usb3="00000000" w:csb0="000101FF" w:csb1="00000000"/>
  </w:font>
  <w:font w:name="Microsoft Sans Serif">
    <w:panose1 w:val="020B0604020202020204"/>
    <w:charset w:val="00"/>
    <w:family w:val="auto"/>
    <w:pitch w:val="default"/>
    <w:sig w:usb0="E5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B5E00B">
    <w:pPr>
      <w:pStyle w:val="2"/>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40CCC0A5">
                          <w:pPr>
                            <w:pStyle w:val="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">
              <v:fill on="f" focussize="0,0"/>
              <v:stroke on="f" weight="0.5pt"/>
              <v:imagedata o:title=""/>
              <o:lock v:ext="edit" aspectratio="f"/>
              <v:textbox inset="0mm,0mm,0mm,0mm" style="mso-fit-shape-to-text:t;">
                <w:txbxContent>
                  <w:p w14:paraId="40CCC0A5">
                    <w:pPr>
                      <w:pStyle w:val="2"/>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A5C1809"/>
    <w:multiLevelType w:val="singleLevel"/>
    <w:tmpl w:val="FA5C1809"/>
    <w:lvl w:ilvl="0" w:tentative="0">
      <w:start w:val="1"/>
      <w:numFmt w:val="decimal"/>
      <w:suff w:val="nothing"/>
      <w:lvlText w:val="%1）"/>
      <w:lvlJc w:val="left"/>
    </w:lvl>
  </w:abstractNum>
  <w:abstractNum w:abstractNumId="1">
    <w:nsid w:val="3A9AB875"/>
    <w:multiLevelType w:val="multilevel"/>
    <w:tmpl w:val="3A9AB875"/>
    <w:lvl w:ilvl="0" w:tentative="0">
      <w:start w:val="4"/>
      <w:numFmt w:val="decimal"/>
      <w:suff w:val="nothing"/>
      <w:lvlText w:val="（%1）"/>
      <w:lvlJc w:val="left"/>
    </w:lvl>
    <w:lvl w:ilvl="1" w:tentative="0">
      <w:start w:val="1"/>
      <w:numFmt w:val="decimalEnclosedCircleChinese"/>
      <w:lvlText w:val="%2"/>
      <w:lvlJc w:val="left"/>
      <w:pPr>
        <w:tabs>
          <w:tab w:val="left" w:pos="840"/>
        </w:tabs>
        <w:ind w:left="840" w:leftChars="0" w:hanging="420" w:firstLineChars="0"/>
      </w:pPr>
      <w:rPr>
        <w:rFonts w:hint="default"/>
      </w:rPr>
    </w:lvl>
    <w:lvl w:ilvl="2" w:tentative="0">
      <w:start w:val="1"/>
      <w:numFmt w:val="decimal"/>
      <w:lvlText w:val="%3)"/>
      <w:lvlJc w:val="left"/>
      <w:pPr>
        <w:tabs>
          <w:tab w:val="left" w:pos="1260"/>
        </w:tabs>
        <w:ind w:left="1260" w:leftChars="0" w:hanging="420" w:firstLineChars="0"/>
      </w:pPr>
      <w:rPr>
        <w:rFonts w:hint="default"/>
      </w:rPr>
    </w:lvl>
    <w:lvl w:ilvl="3" w:tentative="0">
      <w:start w:val="1"/>
      <w:numFmt w:val="lowerLetter"/>
      <w:lvlText w:val="%4."/>
      <w:lvlJc w:val="left"/>
      <w:pPr>
        <w:tabs>
          <w:tab w:val="left" w:pos="1680"/>
        </w:tabs>
        <w:ind w:left="1680" w:leftChars="0" w:hanging="420" w:firstLineChars="0"/>
      </w:pPr>
      <w:rPr>
        <w:rFonts w:hint="default"/>
      </w:rPr>
    </w:lvl>
    <w:lvl w:ilvl="4" w:tentative="0">
      <w:start w:val="1"/>
      <w:numFmt w:val="lowerLetter"/>
      <w:lvlText w:val="%5)"/>
      <w:lvlJc w:val="left"/>
      <w:pPr>
        <w:tabs>
          <w:tab w:val="left" w:pos="2100"/>
        </w:tabs>
        <w:ind w:left="2100" w:leftChars="0" w:hanging="420" w:firstLineChars="0"/>
      </w:pPr>
      <w:rPr>
        <w:rFonts w:hint="default"/>
      </w:rPr>
    </w:lvl>
    <w:lvl w:ilvl="5" w:tentative="0">
      <w:start w:val="1"/>
      <w:numFmt w:val="lowerRoman"/>
      <w:lvlText w:val="%6."/>
      <w:lvlJc w:val="left"/>
      <w:pPr>
        <w:tabs>
          <w:tab w:val="left" w:pos="2520"/>
        </w:tabs>
        <w:ind w:left="2520" w:leftChars="0" w:hanging="420" w:firstLineChars="0"/>
      </w:pPr>
      <w:rPr>
        <w:rFonts w:hint="default"/>
      </w:rPr>
    </w:lvl>
    <w:lvl w:ilvl="6" w:tentative="0">
      <w:start w:val="1"/>
      <w:numFmt w:val="lowerRoman"/>
      <w:lvlText w:val="%7)"/>
      <w:lvlJc w:val="left"/>
      <w:pPr>
        <w:tabs>
          <w:tab w:val="left" w:pos="2940"/>
        </w:tabs>
        <w:ind w:left="2940" w:leftChars="0" w:hanging="420" w:firstLineChars="0"/>
      </w:pPr>
      <w:rPr>
        <w:rFonts w:hint="default"/>
      </w:rPr>
    </w:lvl>
    <w:lvl w:ilvl="7" w:tentative="0">
      <w:start w:val="1"/>
      <w:numFmt w:val="lowerLetter"/>
      <w:lvlText w:val="%8."/>
      <w:lvlJc w:val="left"/>
      <w:pPr>
        <w:tabs>
          <w:tab w:val="left" w:pos="3360"/>
        </w:tabs>
        <w:ind w:left="3360" w:leftChars="0" w:hanging="420" w:firstLineChars="0"/>
      </w:pPr>
      <w:rPr>
        <w:rFonts w:hint="default"/>
      </w:rPr>
    </w:lvl>
    <w:lvl w:ilvl="8" w:tentative="0">
      <w:start w:val="1"/>
      <w:numFmt w:val="lowerLetter"/>
      <w:lvlText w:val="%9)"/>
      <w:lvlJc w:val="left"/>
      <w:pPr>
        <w:tabs>
          <w:tab w:val="left" w:pos="3780"/>
        </w:tabs>
        <w:ind w:left="3780" w:leftChars="0" w:hanging="420" w:firstLineChars="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F4B1CE6"/>
    <w:rsid w:val="25B432C7"/>
    <w:rsid w:val="7F4B1CE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5">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paragraph" w:styleId="2">
    <w:name w:val="footer"/>
    <w:basedOn w:val="1"/>
    <w:uiPriority w:val="0"/>
    <w:pPr>
      <w:tabs>
        <w:tab w:val="center" w:pos="4153"/>
        <w:tab w:val="right" w:pos="8306"/>
      </w:tabs>
      <w:snapToGrid w:val="0"/>
      <w:jc w:val="left"/>
    </w:pPr>
    <w:rPr>
      <w:sz w:val="18"/>
    </w:rPr>
  </w:style>
  <w:style w:type="paragraph" w:styleId="3">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Pages>
  <Words>0</Words>
  <Characters>0</Characters>
  <Lines>0</Lines>
  <Paragraphs>0</Paragraphs>
  <TotalTime>0</TotalTime>
  <ScaleCrop>false</ScaleCrop>
  <LinksUpToDate>false</LinksUpToDate>
  <CharactersWithSpaces>0</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2026-06-15T02:31:00Z</dcterms:created>
  <dc:creator>一秀</dc:creator>
  <cp:lastModifiedBy>一秀</cp:lastModifiedBy>
  <dcterms:modified xsi:type="dcterms:W3CDTF">2026-06-15T02:35:48Z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F62753BC1BD344D3B8FEF9318F19D91A_11</vt:lpwstr>
  </property>
  <property fmtid="{D5CDD505-2E9C-101B-9397-08002B2CF9AE}" pid="4" name="KSOTemplateDocerSaveRecord">
    <vt:lpwstr>eyJoZGlkIjoiNWM3ZTlmNDJlNDA0ZjExYzBmYjlhYjZkMjg5OTgyNTciLCJ1c2VySWQiOiIxMTAwMDQwOTMzIn0=</vt:lpwstr>
  </property>
</Properties>
</file>